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rPr>
          <w:rFonts w:cs="Times New Roman"/>
        </w:rPr>
      </w:pPr>
      <w:bookmarkStart w:id="166" w:name="_GoBack"/>
      <w:bookmarkEnd w:id="166"/>
    </w:p>
    <w:p>
      <w:pPr>
        <w:ind w:firstLine="480"/>
        <w:rPr>
          <w:rFonts w:cs="Times New Roman"/>
        </w:rPr>
      </w:pPr>
    </w:p>
    <w:p>
      <w:pPr>
        <w:spacing w:line="800" w:lineRule="exact"/>
        <w:ind w:firstLine="0" w:firstLineChars="0"/>
        <w:jc w:val="center"/>
        <w:rPr>
          <w:rFonts w:cs="Times New Roman"/>
          <w:b/>
          <w:sz w:val="52"/>
          <w:szCs w:val="52"/>
        </w:rPr>
      </w:pPr>
      <w:r>
        <w:rPr>
          <w:rFonts w:cs="Times New Roman"/>
          <w:b/>
          <w:sz w:val="52"/>
          <w:szCs w:val="52"/>
        </w:rPr>
        <w:t>企业年度环境信息依法披露报告</w:t>
      </w:r>
    </w:p>
    <w:p>
      <w:pPr>
        <w:ind w:firstLine="480"/>
        <w:rPr>
          <w:rFonts w:cs="Times New Roman"/>
        </w:rPr>
      </w:pPr>
    </w:p>
    <w:p>
      <w:pPr>
        <w:ind w:firstLine="480"/>
        <w:rPr>
          <w:rFonts w:cs="Times New Roman"/>
        </w:rPr>
      </w:pPr>
    </w:p>
    <w:p>
      <w:pPr>
        <w:ind w:firstLine="199" w:firstLineChars="83"/>
        <w:jc w:val="center"/>
        <w:rPr>
          <w:rFonts w:cs="Times New Roman"/>
        </w:rPr>
      </w:pPr>
      <w:r>
        <w:rPr>
          <w:rFonts w:ascii="宋体" w:hAnsi="宋体"/>
          <w:szCs w:val="24"/>
        </w:rPr>
        <w:drawing>
          <wp:inline distT="0" distB="0" distL="0" distR="0">
            <wp:extent cx="5274310" cy="3434080"/>
            <wp:effectExtent l="0" t="0" r="2540" b="0"/>
            <wp:docPr id="171" name="图片 171" descr="F:\QQ 接收文件\矿区全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F:\QQ 接收文件\矿区全景.jpg"/>
                    <pic:cNvPicPr>
                      <a:picLocks noChangeAspect="1" noChangeArrowheads="1"/>
                    </pic:cNvPicPr>
                  </pic:nvPicPr>
                  <pic:blipFill>
                    <a:blip r:embed="rId15"/>
                    <a:srcRect/>
                    <a:stretch>
                      <a:fillRect/>
                    </a:stretch>
                  </pic:blipFill>
                  <pic:spPr>
                    <a:xfrm>
                      <a:off x="0" y="0"/>
                      <a:ext cx="5274310" cy="3434407"/>
                    </a:xfrm>
                    <a:prstGeom prst="rect">
                      <a:avLst/>
                    </a:prstGeom>
                    <a:noFill/>
                    <a:ln w="9525">
                      <a:noFill/>
                      <a:miter lim="800000"/>
                      <a:headEnd/>
                      <a:tailEnd/>
                    </a:ln>
                  </pic:spPr>
                </pic:pic>
              </a:graphicData>
            </a:graphic>
          </wp:inline>
        </w:drawing>
      </w:r>
    </w:p>
    <w:p>
      <w:pPr>
        <w:ind w:firstLine="480"/>
        <w:rPr>
          <w:rFonts w:cs="Times New Roman"/>
        </w:rPr>
      </w:pPr>
    </w:p>
    <w:p>
      <w:pPr>
        <w:ind w:firstLine="480"/>
        <w:rPr>
          <w:rFonts w:cs="Times New Roman"/>
        </w:rPr>
      </w:pPr>
    </w:p>
    <w:tbl>
      <w:tblPr>
        <w:tblStyle w:val="44"/>
        <w:tblW w:w="8363" w:type="dxa"/>
        <w:tblInd w:w="39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70"/>
        <w:gridCol w:w="52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70" w:type="dxa"/>
          </w:tcPr>
          <w:p>
            <w:pPr>
              <w:ind w:firstLine="0" w:firstLineChars="0"/>
              <w:rPr>
                <w:rFonts w:cs="Times New Roman"/>
                <w:sz w:val="28"/>
                <w:szCs w:val="28"/>
              </w:rPr>
            </w:pPr>
            <w:r>
              <w:rPr>
                <w:rFonts w:cs="Times New Roman"/>
                <w:b/>
                <w:spacing w:val="214"/>
                <w:kern w:val="0"/>
                <w:sz w:val="28"/>
                <w:szCs w:val="28"/>
                <w:fitText w:val="2408" w:id="-1587261184"/>
              </w:rPr>
              <w:t>企业名</w:t>
            </w:r>
            <w:r>
              <w:rPr>
                <w:rFonts w:cs="Times New Roman"/>
                <w:b/>
                <w:spacing w:val="2"/>
                <w:kern w:val="0"/>
                <w:sz w:val="28"/>
                <w:szCs w:val="28"/>
                <w:fitText w:val="2408" w:id="-1587261184"/>
              </w:rPr>
              <w:t>称</w:t>
            </w:r>
            <w:r>
              <w:rPr>
                <w:rFonts w:cs="Times New Roman"/>
                <w:b/>
                <w:sz w:val="28"/>
                <w:szCs w:val="28"/>
              </w:rPr>
              <w:t>：</w:t>
            </w:r>
          </w:p>
        </w:tc>
        <w:tc>
          <w:tcPr>
            <w:tcW w:w="5293" w:type="dxa"/>
          </w:tcPr>
          <w:p>
            <w:pPr>
              <w:ind w:firstLine="0" w:firstLineChars="0"/>
              <w:jc w:val="center"/>
              <w:rPr>
                <w:rFonts w:cs="Times New Roman"/>
                <w:b/>
                <w:sz w:val="28"/>
                <w:szCs w:val="28"/>
              </w:rPr>
            </w:pPr>
            <w:r>
              <w:rPr>
                <w:rFonts w:hint="eastAsia" w:cs="Times New Roman"/>
                <w:b/>
                <w:sz w:val="28"/>
                <w:szCs w:val="28"/>
              </w:rPr>
              <w:t>珲春紫金矿业有限公司曙光金铜矿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70" w:type="dxa"/>
          </w:tcPr>
          <w:p>
            <w:pPr>
              <w:ind w:firstLine="0" w:firstLineChars="0"/>
              <w:rPr>
                <w:rFonts w:cs="Times New Roman"/>
                <w:sz w:val="28"/>
                <w:szCs w:val="28"/>
              </w:rPr>
            </w:pPr>
            <w:r>
              <w:rPr>
                <w:rFonts w:cs="Times New Roman"/>
                <w:b/>
                <w:spacing w:val="12"/>
                <w:w w:val="100"/>
                <w:kern w:val="0"/>
                <w:sz w:val="28"/>
                <w:szCs w:val="28"/>
                <w:fitText w:val="2408" w:id="-1587261183"/>
              </w:rPr>
              <w:t>统一社会信用代</w:t>
            </w:r>
            <w:r>
              <w:rPr>
                <w:rFonts w:cs="Times New Roman"/>
                <w:b/>
                <w:spacing w:val="0"/>
                <w:w w:val="100"/>
                <w:kern w:val="0"/>
                <w:sz w:val="28"/>
                <w:szCs w:val="28"/>
                <w:fitText w:val="2408" w:id="-1587261183"/>
              </w:rPr>
              <w:t>码</w:t>
            </w:r>
            <w:r>
              <w:rPr>
                <w:rFonts w:cs="Times New Roman"/>
                <w:b/>
                <w:sz w:val="28"/>
                <w:szCs w:val="28"/>
              </w:rPr>
              <w:t>：</w:t>
            </w:r>
          </w:p>
        </w:tc>
        <w:tc>
          <w:tcPr>
            <w:tcW w:w="5293" w:type="dxa"/>
          </w:tcPr>
          <w:p>
            <w:pPr>
              <w:ind w:firstLine="0" w:firstLineChars="0"/>
              <w:jc w:val="center"/>
              <w:rPr>
                <w:rFonts w:cs="Times New Roman"/>
                <w:sz w:val="28"/>
                <w:szCs w:val="28"/>
              </w:rPr>
            </w:pPr>
            <w:r>
              <w:rPr>
                <w:rFonts w:hint="eastAsia" w:cs="Times New Roman"/>
                <w:b/>
                <w:sz w:val="28"/>
                <w:szCs w:val="28"/>
              </w:rPr>
              <w:t>91222404753606947L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70" w:type="dxa"/>
          </w:tcPr>
          <w:p>
            <w:pPr>
              <w:ind w:firstLine="0" w:firstLineChars="0"/>
              <w:rPr>
                <w:rFonts w:cs="Times New Roman"/>
                <w:sz w:val="28"/>
                <w:szCs w:val="28"/>
              </w:rPr>
            </w:pPr>
            <w:r>
              <w:rPr>
                <w:rFonts w:cs="Times New Roman"/>
                <w:b/>
                <w:spacing w:val="214"/>
                <w:kern w:val="0"/>
                <w:sz w:val="28"/>
                <w:szCs w:val="28"/>
                <w:fitText w:val="2408" w:id="-1587261182"/>
              </w:rPr>
              <w:t>报告年</w:t>
            </w:r>
            <w:r>
              <w:rPr>
                <w:rFonts w:cs="Times New Roman"/>
                <w:b/>
                <w:spacing w:val="2"/>
                <w:kern w:val="0"/>
                <w:sz w:val="28"/>
                <w:szCs w:val="28"/>
                <w:fitText w:val="2408" w:id="-1587261182"/>
              </w:rPr>
              <w:t>度</w:t>
            </w:r>
            <w:r>
              <w:rPr>
                <w:rFonts w:cs="Times New Roman"/>
                <w:b/>
                <w:sz w:val="28"/>
                <w:szCs w:val="28"/>
              </w:rPr>
              <w:t>：</w:t>
            </w:r>
          </w:p>
        </w:tc>
        <w:tc>
          <w:tcPr>
            <w:tcW w:w="5293" w:type="dxa"/>
          </w:tcPr>
          <w:p>
            <w:pPr>
              <w:ind w:firstLine="0" w:firstLineChars="0"/>
              <w:jc w:val="center"/>
              <w:rPr>
                <w:rFonts w:cs="Times New Roman"/>
                <w:b/>
                <w:sz w:val="28"/>
                <w:szCs w:val="28"/>
              </w:rPr>
            </w:pPr>
            <w:r>
              <w:rPr>
                <w:rFonts w:cs="Times New Roman"/>
                <w:b/>
                <w:sz w:val="28"/>
                <w:szCs w:val="28"/>
              </w:rPr>
              <w:t>202</w:t>
            </w:r>
            <w:r>
              <w:rPr>
                <w:rFonts w:hint="eastAsia" w:cs="Times New Roman"/>
                <w:b/>
                <w:sz w:val="28"/>
                <w:szCs w:val="28"/>
              </w:rPr>
              <w:t>2</w:t>
            </w:r>
            <w:r>
              <w:rPr>
                <w:rFonts w:cs="Times New Roman"/>
                <w:b/>
                <w:sz w:val="28"/>
                <w:szCs w:val="28"/>
              </w:rPr>
              <w:t>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70" w:type="dxa"/>
          </w:tcPr>
          <w:p>
            <w:pPr>
              <w:ind w:firstLine="0" w:firstLineChars="0"/>
              <w:rPr>
                <w:rFonts w:cs="Times New Roman"/>
                <w:sz w:val="28"/>
                <w:szCs w:val="28"/>
              </w:rPr>
            </w:pPr>
            <w:r>
              <w:rPr>
                <w:rFonts w:cs="Times New Roman"/>
                <w:b/>
                <w:spacing w:val="214"/>
                <w:kern w:val="0"/>
                <w:sz w:val="28"/>
                <w:szCs w:val="28"/>
                <w:fitText w:val="2408" w:id="-1587261181"/>
              </w:rPr>
              <w:t>编制日</w:t>
            </w:r>
            <w:r>
              <w:rPr>
                <w:rFonts w:cs="Times New Roman"/>
                <w:b/>
                <w:spacing w:val="2"/>
                <w:kern w:val="0"/>
                <w:sz w:val="28"/>
                <w:szCs w:val="28"/>
                <w:fitText w:val="2408" w:id="-1587261181"/>
              </w:rPr>
              <w:t>期</w:t>
            </w:r>
            <w:r>
              <w:rPr>
                <w:rFonts w:cs="Times New Roman"/>
                <w:b/>
                <w:sz w:val="28"/>
                <w:szCs w:val="28"/>
              </w:rPr>
              <w:t>：</w:t>
            </w:r>
          </w:p>
        </w:tc>
        <w:tc>
          <w:tcPr>
            <w:tcW w:w="5293" w:type="dxa"/>
          </w:tcPr>
          <w:p>
            <w:pPr>
              <w:ind w:firstLine="0" w:firstLineChars="0"/>
              <w:jc w:val="center"/>
              <w:rPr>
                <w:rFonts w:cs="Times New Roman"/>
                <w:b/>
                <w:sz w:val="28"/>
                <w:szCs w:val="28"/>
              </w:rPr>
            </w:pPr>
            <w:r>
              <w:rPr>
                <w:rFonts w:cs="Times New Roman"/>
                <w:b/>
                <w:sz w:val="28"/>
                <w:szCs w:val="28"/>
              </w:rPr>
              <w:t>202</w:t>
            </w:r>
            <w:r>
              <w:rPr>
                <w:rFonts w:hint="eastAsia" w:cs="Times New Roman"/>
                <w:b/>
                <w:sz w:val="28"/>
                <w:szCs w:val="28"/>
              </w:rPr>
              <w:t>3</w:t>
            </w:r>
            <w:r>
              <w:rPr>
                <w:rFonts w:cs="Times New Roman"/>
                <w:b/>
                <w:sz w:val="28"/>
                <w:szCs w:val="28"/>
              </w:rPr>
              <w:t>年2月</w:t>
            </w:r>
          </w:p>
        </w:tc>
      </w:tr>
    </w:tbl>
    <w:p>
      <w:pPr>
        <w:ind w:firstLine="199" w:firstLineChars="83"/>
        <w:jc w:val="center"/>
        <w:rPr>
          <w:rFonts w:cs="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pPr>
        <w:snapToGrid w:val="0"/>
        <w:spacing w:after="100" w:afterAutospacing="1"/>
        <w:ind w:firstLine="199" w:firstLineChars="66"/>
        <w:jc w:val="center"/>
        <w:rPr>
          <w:rFonts w:cs="Times New Roman"/>
          <w:b/>
          <w:sz w:val="30"/>
          <w:szCs w:val="30"/>
        </w:rPr>
      </w:pPr>
    </w:p>
    <w:p>
      <w:pPr>
        <w:ind w:firstLine="0" w:firstLineChars="0"/>
        <w:jc w:val="center"/>
        <w:outlineLvl w:val="0"/>
        <w:rPr>
          <w:rFonts w:eastAsia="仿宋" w:cs="Times New Roman"/>
          <w:b/>
          <w:sz w:val="32"/>
          <w:szCs w:val="32"/>
        </w:rPr>
      </w:pPr>
      <w:bookmarkStart w:id="0" w:name="_Toc75943998"/>
      <w:bookmarkStart w:id="1" w:name="_Toc95825261"/>
      <w:bookmarkStart w:id="2" w:name="_Toc70003851"/>
      <w:bookmarkStart w:id="3" w:name="_Toc95920316"/>
      <w:bookmarkStart w:id="4" w:name="_Toc72229092"/>
      <w:bookmarkStart w:id="5" w:name="_Toc69839181"/>
      <w:bookmarkStart w:id="6" w:name="_Toc70066714"/>
      <w:bookmarkStart w:id="7" w:name="_Toc127266634"/>
      <w:bookmarkStart w:id="8" w:name="_Toc69838263"/>
      <w:r>
        <w:rPr>
          <w:rFonts w:eastAsia="仿宋" w:cs="Times New Roman"/>
          <w:b/>
          <w:sz w:val="32"/>
          <w:szCs w:val="32"/>
        </w:rPr>
        <w:t>企业负责人声明</w:t>
      </w:r>
      <w:bookmarkEnd w:id="0"/>
      <w:bookmarkEnd w:id="1"/>
      <w:bookmarkEnd w:id="2"/>
      <w:bookmarkEnd w:id="3"/>
      <w:bookmarkEnd w:id="4"/>
      <w:bookmarkEnd w:id="5"/>
      <w:bookmarkEnd w:id="6"/>
      <w:bookmarkEnd w:id="7"/>
      <w:bookmarkEnd w:id="8"/>
    </w:p>
    <w:p>
      <w:pPr>
        <w:ind w:firstLine="600"/>
        <w:rPr>
          <w:rFonts w:eastAsia="仿宋" w:cs="Times New Roman"/>
          <w:sz w:val="30"/>
          <w:szCs w:val="30"/>
        </w:rPr>
      </w:pPr>
    </w:p>
    <w:p>
      <w:pPr>
        <w:ind w:firstLine="600"/>
        <w:rPr>
          <w:rFonts w:eastAsia="仿宋" w:cs="Times New Roman"/>
          <w:sz w:val="30"/>
          <w:szCs w:val="30"/>
        </w:rPr>
      </w:pPr>
      <w:r>
        <w:rPr>
          <w:rFonts w:eastAsia="仿宋" w:cs="Times New Roman"/>
          <w:sz w:val="30"/>
          <w:szCs w:val="30"/>
        </w:rPr>
        <w:t>（企业负责人）保证本年度报告内容的真实、准确、完整，不存在虚假记载、误导性陈述或重大遗漏，并承担相应的法律责任。</w:t>
      </w:r>
    </w:p>
    <w:p>
      <w:pPr>
        <w:ind w:firstLine="600"/>
        <w:rPr>
          <w:rFonts w:eastAsia="仿宋" w:cs="Times New Roman"/>
          <w:sz w:val="30"/>
          <w:szCs w:val="30"/>
        </w:rPr>
      </w:pPr>
    </w:p>
    <w:p>
      <w:pPr>
        <w:ind w:firstLine="600"/>
        <w:jc w:val="right"/>
        <w:rPr>
          <w:rFonts w:eastAsia="仿宋" w:cs="Times New Roman"/>
          <w:sz w:val="30"/>
          <w:szCs w:val="30"/>
        </w:rPr>
      </w:pPr>
      <w:r>
        <w:rPr>
          <w:rFonts w:eastAsia="仿宋" w:cs="Times New Roman"/>
          <w:sz w:val="30"/>
          <w:szCs w:val="30"/>
        </w:rPr>
        <w:t>企业负责人        （签字/签章）</w:t>
      </w:r>
    </w:p>
    <w:p>
      <w:pPr>
        <w:ind w:firstLine="600"/>
        <w:jc w:val="right"/>
        <w:rPr>
          <w:rFonts w:eastAsia="仿宋"/>
          <w:sz w:val="30"/>
          <w:szCs w:val="30"/>
        </w:rPr>
      </w:pPr>
    </w:p>
    <w:p>
      <w:pPr>
        <w:ind w:firstLine="600"/>
        <w:jc w:val="right"/>
        <w:rPr>
          <w:rFonts w:eastAsia="仿宋" w:cs="Times New Roman"/>
          <w:sz w:val="30"/>
          <w:szCs w:val="30"/>
        </w:rPr>
      </w:pPr>
      <w:r>
        <w:rPr>
          <w:rFonts w:eastAsia="仿宋" w:cs="Times New Roman"/>
          <w:sz w:val="30"/>
          <w:szCs w:val="30"/>
        </w:rPr>
        <w:t>（企业/单位盖章）       年 月 日</w:t>
      </w:r>
    </w:p>
    <w:p>
      <w:pPr>
        <w:ind w:firstLine="640"/>
        <w:jc w:val="right"/>
        <w:rPr>
          <w:rFonts w:eastAsia="仿宋" w:cs="Times New Roman"/>
          <w:sz w:val="32"/>
          <w:szCs w:val="30"/>
        </w:rPr>
      </w:pPr>
    </w:p>
    <w:p>
      <w:pPr>
        <w:ind w:firstLine="640"/>
        <w:jc w:val="right"/>
        <w:rPr>
          <w:rFonts w:eastAsia="仿宋" w:cs="Times New Roman"/>
          <w:sz w:val="32"/>
          <w:szCs w:val="30"/>
        </w:rPr>
      </w:pPr>
    </w:p>
    <w:p>
      <w:pPr>
        <w:ind w:firstLine="0" w:firstLineChars="0"/>
        <w:jc w:val="center"/>
        <w:outlineLvl w:val="0"/>
        <w:rPr>
          <w:rFonts w:eastAsia="仿宋"/>
          <w:b/>
          <w:sz w:val="32"/>
          <w:szCs w:val="32"/>
        </w:rPr>
      </w:pPr>
      <w:bookmarkStart w:id="9" w:name="_Toc75943999"/>
      <w:bookmarkStart w:id="10" w:name="_Toc72229093"/>
      <w:bookmarkStart w:id="11" w:name="_Toc69838264"/>
      <w:bookmarkStart w:id="12" w:name="_Toc95920317"/>
      <w:bookmarkStart w:id="13" w:name="_Toc69839182"/>
      <w:bookmarkStart w:id="14" w:name="_Toc95825262"/>
      <w:bookmarkStart w:id="15" w:name="_Toc70003852"/>
      <w:bookmarkStart w:id="16" w:name="_Toc70066715"/>
    </w:p>
    <w:p>
      <w:pPr>
        <w:ind w:firstLine="0" w:firstLineChars="0"/>
        <w:jc w:val="center"/>
        <w:outlineLvl w:val="0"/>
        <w:rPr>
          <w:rFonts w:eastAsia="仿宋" w:cs="Times New Roman"/>
          <w:b/>
          <w:sz w:val="32"/>
          <w:szCs w:val="32"/>
        </w:rPr>
      </w:pPr>
      <w:bookmarkStart w:id="17" w:name="_Toc127266635"/>
      <w:r>
        <w:rPr>
          <w:rFonts w:eastAsia="仿宋" w:cs="Times New Roman"/>
          <w:b/>
          <w:sz w:val="32"/>
          <w:szCs w:val="32"/>
        </w:rPr>
        <w:t>环保工作负责人声明</w:t>
      </w:r>
      <w:bookmarkEnd w:id="9"/>
      <w:bookmarkEnd w:id="10"/>
      <w:bookmarkEnd w:id="11"/>
      <w:bookmarkEnd w:id="12"/>
      <w:bookmarkEnd w:id="13"/>
      <w:bookmarkEnd w:id="14"/>
      <w:bookmarkEnd w:id="15"/>
      <w:bookmarkEnd w:id="16"/>
      <w:bookmarkEnd w:id="17"/>
    </w:p>
    <w:p>
      <w:pPr>
        <w:ind w:firstLine="600"/>
        <w:rPr>
          <w:rFonts w:eastAsia="仿宋" w:cs="Times New Roman"/>
          <w:sz w:val="30"/>
          <w:szCs w:val="30"/>
        </w:rPr>
      </w:pPr>
    </w:p>
    <w:p>
      <w:pPr>
        <w:ind w:firstLine="600"/>
        <w:rPr>
          <w:rFonts w:eastAsia="仿宋" w:cs="Times New Roman"/>
          <w:sz w:val="30"/>
          <w:szCs w:val="30"/>
        </w:rPr>
      </w:pPr>
      <w:r>
        <w:rPr>
          <w:rFonts w:eastAsia="仿宋" w:cs="Times New Roman"/>
          <w:sz w:val="30"/>
          <w:szCs w:val="30"/>
        </w:rPr>
        <w:t>（主管环保工作负责人或环保机构负责人）保证本年度报告中环保信息及数据的真实、准确、完整。</w:t>
      </w:r>
    </w:p>
    <w:p>
      <w:pPr>
        <w:ind w:firstLine="600"/>
        <w:rPr>
          <w:rFonts w:eastAsia="仿宋" w:cs="Times New Roman"/>
          <w:sz w:val="30"/>
          <w:szCs w:val="30"/>
        </w:rPr>
      </w:pPr>
    </w:p>
    <w:p>
      <w:pPr>
        <w:ind w:firstLine="600"/>
        <w:rPr>
          <w:rFonts w:eastAsia="仿宋" w:cs="Times New Roman"/>
          <w:sz w:val="30"/>
          <w:szCs w:val="30"/>
        </w:rPr>
      </w:pPr>
      <w:r>
        <w:rPr>
          <w:rFonts w:eastAsia="仿宋" w:cs="Times New Roman"/>
          <w:sz w:val="30"/>
          <w:szCs w:val="30"/>
        </w:rPr>
        <w:t>主管环保工作负责人或环保机构负责人      （签字/签章）</w:t>
      </w:r>
    </w:p>
    <w:p>
      <w:pPr>
        <w:ind w:firstLine="600"/>
        <w:jc w:val="right"/>
        <w:rPr>
          <w:rFonts w:eastAsia="仿宋"/>
          <w:sz w:val="30"/>
          <w:szCs w:val="30"/>
        </w:rPr>
      </w:pPr>
    </w:p>
    <w:p>
      <w:pPr>
        <w:ind w:firstLine="600"/>
        <w:jc w:val="right"/>
        <w:rPr>
          <w:rFonts w:eastAsia="微软雅黑" w:cs="Times New Roman"/>
          <w:color w:val="000000"/>
          <w:sz w:val="27"/>
          <w:szCs w:val="27"/>
        </w:rPr>
      </w:pPr>
      <w:r>
        <w:rPr>
          <w:rFonts w:eastAsia="仿宋" w:cs="Times New Roman"/>
          <w:sz w:val="30"/>
          <w:szCs w:val="30"/>
        </w:rPr>
        <w:t xml:space="preserve">     年 月 日</w:t>
      </w:r>
    </w:p>
    <w:p>
      <w:pPr>
        <w:ind w:firstLine="480"/>
        <w:rPr>
          <w:rFonts w:cs="Times New Roman"/>
        </w:rPr>
      </w:pPr>
    </w:p>
    <w:p>
      <w:pPr>
        <w:ind w:firstLine="480"/>
        <w:rPr>
          <w:rFonts w:cs="Times New Roman"/>
        </w:rPr>
        <w:sectPr>
          <w:pgSz w:w="11906" w:h="16838"/>
          <w:pgMar w:top="1440" w:right="1800" w:bottom="1440" w:left="1800" w:header="851" w:footer="992" w:gutter="0"/>
          <w:cols w:space="425" w:num="1"/>
          <w:docGrid w:type="lines" w:linePitch="312" w:charSpace="0"/>
        </w:sectPr>
      </w:pPr>
    </w:p>
    <w:p>
      <w:pPr>
        <w:ind w:firstLine="0" w:firstLineChars="0"/>
        <w:jc w:val="center"/>
        <w:rPr>
          <w:rFonts w:cs="Times New Roman"/>
          <w:b/>
          <w:sz w:val="32"/>
          <w:szCs w:val="32"/>
        </w:rPr>
      </w:pPr>
      <w:bookmarkStart w:id="18" w:name="_Toc2179121"/>
      <w:bookmarkStart w:id="19" w:name="_Toc471894071"/>
      <w:bookmarkStart w:id="20" w:name="_Toc442169473"/>
      <w:bookmarkStart w:id="21" w:name="_Toc471982774"/>
      <w:bookmarkStart w:id="22" w:name="_Toc471462058"/>
      <w:bookmarkStart w:id="23" w:name="_Toc480956310"/>
      <w:bookmarkStart w:id="24" w:name="_Toc472093720"/>
      <w:bookmarkStart w:id="25" w:name="_Toc65484477"/>
      <w:bookmarkStart w:id="26" w:name="_Toc442284472"/>
      <w:bookmarkStart w:id="27" w:name="_Toc435199312"/>
      <w:bookmarkStart w:id="28" w:name="_Toc435621437"/>
      <w:r>
        <w:rPr>
          <w:rFonts w:cs="Times New Roman"/>
          <w:b/>
          <w:sz w:val="32"/>
          <w:szCs w:val="32"/>
        </w:rPr>
        <w:t>目</w:t>
      </w:r>
      <w:r>
        <w:rPr>
          <w:rFonts w:hint="eastAsia" w:cs="Times New Roman"/>
          <w:b/>
          <w:sz w:val="32"/>
          <w:szCs w:val="32"/>
        </w:rPr>
        <w:t xml:space="preserve"> </w:t>
      </w:r>
      <w:r>
        <w:rPr>
          <w:rFonts w:cs="Times New Roman"/>
          <w:b/>
          <w:sz w:val="32"/>
          <w:szCs w:val="32"/>
        </w:rPr>
        <w:t>录</w:t>
      </w:r>
      <w:bookmarkEnd w:id="18"/>
      <w:bookmarkEnd w:id="19"/>
      <w:bookmarkEnd w:id="20"/>
      <w:bookmarkEnd w:id="21"/>
      <w:bookmarkEnd w:id="22"/>
      <w:bookmarkEnd w:id="23"/>
      <w:bookmarkEnd w:id="24"/>
      <w:bookmarkEnd w:id="25"/>
      <w:bookmarkEnd w:id="26"/>
      <w:bookmarkEnd w:id="27"/>
      <w:bookmarkEnd w:id="28"/>
      <w:r>
        <w:rPr>
          <w:rFonts w:cs="Times New Roman"/>
          <w:b/>
          <w:szCs w:val="24"/>
        </w:rPr>
        <w:fldChar w:fldCharType="begin"/>
      </w:r>
      <w:r>
        <w:rPr>
          <w:rFonts w:cs="Times New Roman"/>
          <w:b/>
          <w:szCs w:val="24"/>
        </w:rPr>
        <w:instrText xml:space="preserve"> TOC \o "1-2" \h \z \u </w:instrText>
      </w:r>
      <w:r>
        <w:rPr>
          <w:rFonts w:cs="Times New Roman"/>
          <w:b/>
          <w:szCs w:val="24"/>
        </w:rPr>
        <w:fldChar w:fldCharType="separate"/>
      </w:r>
    </w:p>
    <w:p>
      <w:pPr>
        <w:pStyle w:val="29"/>
        <w:spacing w:line="380" w:lineRule="exact"/>
        <w:rPr>
          <w:rFonts w:cs="Times New Roman"/>
          <w:b w:val="0"/>
          <w:kern w:val="2"/>
          <w:sz w:val="21"/>
        </w:rPr>
      </w:pPr>
      <w:r>
        <w:fldChar w:fldCharType="begin"/>
      </w:r>
      <w:r>
        <w:instrText xml:space="preserve"> HYPERLINK \l "_Toc127266636" </w:instrText>
      </w:r>
      <w:r>
        <w:fldChar w:fldCharType="separate"/>
      </w:r>
      <w:r>
        <w:rPr>
          <w:rStyle w:val="49"/>
          <w:rFonts w:cs="Times New Roman"/>
          <w:b w:val="0"/>
        </w:rPr>
        <w:t>1名词解释</w:t>
      </w:r>
      <w:r>
        <w:rPr>
          <w:rFonts w:cs="Times New Roman"/>
          <w:b w:val="0"/>
        </w:rPr>
        <w:tab/>
      </w:r>
      <w:r>
        <w:rPr>
          <w:rFonts w:cs="Times New Roman"/>
          <w:b w:val="0"/>
        </w:rPr>
        <w:fldChar w:fldCharType="begin"/>
      </w:r>
      <w:r>
        <w:rPr>
          <w:rFonts w:cs="Times New Roman"/>
          <w:b w:val="0"/>
        </w:rPr>
        <w:instrText xml:space="preserve"> PAGEREF _Toc127266636 \h </w:instrText>
      </w:r>
      <w:r>
        <w:rPr>
          <w:rFonts w:cs="Times New Roman"/>
          <w:b w:val="0"/>
        </w:rPr>
        <w:fldChar w:fldCharType="separate"/>
      </w:r>
      <w:r>
        <w:rPr>
          <w:rFonts w:cs="Times New Roman"/>
          <w:b w:val="0"/>
        </w:rPr>
        <w:t>1</w:t>
      </w:r>
      <w:r>
        <w:rPr>
          <w:rFonts w:cs="Times New Roman"/>
          <w:b w:val="0"/>
        </w:rPr>
        <w:fldChar w:fldCharType="end"/>
      </w:r>
      <w:r>
        <w:rPr>
          <w:rFonts w:cs="Times New Roman"/>
          <w:b w:val="0"/>
        </w:rPr>
        <w:fldChar w:fldCharType="end"/>
      </w:r>
    </w:p>
    <w:p>
      <w:pPr>
        <w:pStyle w:val="29"/>
        <w:spacing w:line="380" w:lineRule="exact"/>
        <w:rPr>
          <w:rFonts w:cs="Times New Roman"/>
          <w:b w:val="0"/>
          <w:kern w:val="2"/>
          <w:sz w:val="21"/>
        </w:rPr>
      </w:pPr>
      <w:r>
        <w:fldChar w:fldCharType="begin"/>
      </w:r>
      <w:r>
        <w:instrText xml:space="preserve"> HYPERLINK \l "_Toc127266637" </w:instrText>
      </w:r>
      <w:r>
        <w:fldChar w:fldCharType="separate"/>
      </w:r>
      <w:r>
        <w:rPr>
          <w:rStyle w:val="49"/>
          <w:rFonts w:cs="Times New Roman"/>
          <w:b w:val="0"/>
        </w:rPr>
        <w:t>2 关键环境信息提要</w:t>
      </w:r>
      <w:r>
        <w:rPr>
          <w:rFonts w:cs="Times New Roman"/>
          <w:b w:val="0"/>
        </w:rPr>
        <w:tab/>
      </w:r>
      <w:r>
        <w:rPr>
          <w:rFonts w:cs="Times New Roman"/>
          <w:b w:val="0"/>
        </w:rPr>
        <w:fldChar w:fldCharType="begin"/>
      </w:r>
      <w:r>
        <w:rPr>
          <w:rFonts w:cs="Times New Roman"/>
          <w:b w:val="0"/>
        </w:rPr>
        <w:instrText xml:space="preserve"> PAGEREF _Toc127266637 \h </w:instrText>
      </w:r>
      <w:r>
        <w:rPr>
          <w:rFonts w:cs="Times New Roman"/>
          <w:b w:val="0"/>
        </w:rPr>
        <w:fldChar w:fldCharType="separate"/>
      </w:r>
      <w:r>
        <w:rPr>
          <w:rFonts w:cs="Times New Roman"/>
          <w:b w:val="0"/>
        </w:rPr>
        <w:t>3</w:t>
      </w:r>
      <w:r>
        <w:rPr>
          <w:rFonts w:cs="Times New Roman"/>
          <w:b w:val="0"/>
        </w:rPr>
        <w:fldChar w:fldCharType="end"/>
      </w:r>
      <w:r>
        <w:rPr>
          <w:rFonts w:cs="Times New Roman"/>
          <w:b w:val="0"/>
        </w:rPr>
        <w:fldChar w:fldCharType="end"/>
      </w:r>
    </w:p>
    <w:p>
      <w:pPr>
        <w:pStyle w:val="35"/>
        <w:spacing w:after="0" w:line="380" w:lineRule="exact"/>
        <w:rPr>
          <w:rFonts w:ascii="Times New Roman" w:hAnsi="Times New Roman" w:eastAsia="仿宋_GB2312" w:cs="Times New Roman"/>
          <w:kern w:val="2"/>
          <w:sz w:val="21"/>
        </w:rPr>
      </w:pPr>
      <w:r>
        <w:fldChar w:fldCharType="begin"/>
      </w:r>
      <w:r>
        <w:instrText xml:space="preserve"> HYPERLINK \l "_Toc127266638" </w:instrText>
      </w:r>
      <w:r>
        <w:fldChar w:fldCharType="separate"/>
      </w:r>
      <w:r>
        <w:rPr>
          <w:rStyle w:val="49"/>
          <w:rFonts w:ascii="Times New Roman" w:hAnsi="Times New Roman" w:eastAsia="仿宋_GB2312" w:cs="Times New Roman"/>
        </w:rPr>
        <w:t>2.1 年度生态环境行政许可变更情况</w:t>
      </w:r>
      <w:r>
        <w:rPr>
          <w:rFonts w:ascii="Times New Roman" w:hAnsi="Times New Roman" w:eastAsia="仿宋_GB2312" w:cs="Times New Roman"/>
        </w:rPr>
        <w:tab/>
      </w:r>
      <w:r>
        <w:rPr>
          <w:rFonts w:ascii="Times New Roman" w:hAnsi="Times New Roman" w:eastAsia="仿宋_GB2312" w:cs="Times New Roman"/>
        </w:rPr>
        <w:fldChar w:fldCharType="begin"/>
      </w:r>
      <w:r>
        <w:rPr>
          <w:rFonts w:ascii="Times New Roman" w:hAnsi="Times New Roman" w:eastAsia="仿宋_GB2312" w:cs="Times New Roman"/>
        </w:rPr>
        <w:instrText xml:space="preserve"> PAGEREF _Toc127266638 \h </w:instrText>
      </w:r>
      <w:r>
        <w:rPr>
          <w:rFonts w:ascii="Times New Roman" w:hAnsi="Times New Roman" w:eastAsia="仿宋_GB2312" w:cs="Times New Roman"/>
        </w:rPr>
        <w:fldChar w:fldCharType="separate"/>
      </w:r>
      <w:r>
        <w:rPr>
          <w:rFonts w:ascii="Times New Roman" w:hAnsi="Times New Roman" w:eastAsia="仿宋_GB2312" w:cs="Times New Roman"/>
        </w:rPr>
        <w:t>3</w:t>
      </w:r>
      <w:r>
        <w:rPr>
          <w:rFonts w:ascii="Times New Roman" w:hAnsi="Times New Roman" w:eastAsia="仿宋_GB2312" w:cs="Times New Roman"/>
        </w:rPr>
        <w:fldChar w:fldCharType="end"/>
      </w:r>
      <w:r>
        <w:rPr>
          <w:rFonts w:ascii="Times New Roman" w:hAnsi="Times New Roman" w:eastAsia="仿宋_GB2312" w:cs="Times New Roman"/>
        </w:rPr>
        <w:fldChar w:fldCharType="end"/>
      </w:r>
    </w:p>
    <w:p>
      <w:pPr>
        <w:pStyle w:val="35"/>
        <w:spacing w:after="0" w:line="380" w:lineRule="exact"/>
        <w:rPr>
          <w:rFonts w:ascii="Times New Roman" w:hAnsi="Times New Roman" w:eastAsia="仿宋_GB2312" w:cs="Times New Roman"/>
          <w:kern w:val="2"/>
          <w:sz w:val="21"/>
        </w:rPr>
      </w:pPr>
      <w:r>
        <w:fldChar w:fldCharType="begin"/>
      </w:r>
      <w:r>
        <w:instrText xml:space="preserve"> HYPERLINK \l "_Toc127266639" </w:instrText>
      </w:r>
      <w:r>
        <w:fldChar w:fldCharType="separate"/>
      </w:r>
      <w:r>
        <w:rPr>
          <w:rStyle w:val="49"/>
          <w:rFonts w:ascii="Times New Roman" w:hAnsi="Times New Roman" w:eastAsia="仿宋_GB2312" w:cs="Times New Roman"/>
        </w:rPr>
        <w:t>2.2 年度主要污染物排放和碳排放情况</w:t>
      </w:r>
      <w:r>
        <w:rPr>
          <w:rFonts w:ascii="Times New Roman" w:hAnsi="Times New Roman" w:eastAsia="仿宋_GB2312" w:cs="Times New Roman"/>
        </w:rPr>
        <w:tab/>
      </w:r>
      <w:r>
        <w:rPr>
          <w:rFonts w:ascii="Times New Roman" w:hAnsi="Times New Roman" w:eastAsia="仿宋_GB2312" w:cs="Times New Roman"/>
        </w:rPr>
        <w:fldChar w:fldCharType="begin"/>
      </w:r>
      <w:r>
        <w:rPr>
          <w:rFonts w:ascii="Times New Roman" w:hAnsi="Times New Roman" w:eastAsia="仿宋_GB2312" w:cs="Times New Roman"/>
        </w:rPr>
        <w:instrText xml:space="preserve"> PAGEREF _Toc127266639 \h </w:instrText>
      </w:r>
      <w:r>
        <w:rPr>
          <w:rFonts w:ascii="Times New Roman" w:hAnsi="Times New Roman" w:eastAsia="仿宋_GB2312" w:cs="Times New Roman"/>
        </w:rPr>
        <w:fldChar w:fldCharType="separate"/>
      </w:r>
      <w:r>
        <w:rPr>
          <w:rFonts w:ascii="Times New Roman" w:hAnsi="Times New Roman" w:eastAsia="仿宋_GB2312" w:cs="Times New Roman"/>
        </w:rPr>
        <w:t>3</w:t>
      </w:r>
      <w:r>
        <w:rPr>
          <w:rFonts w:ascii="Times New Roman" w:hAnsi="Times New Roman" w:eastAsia="仿宋_GB2312" w:cs="Times New Roman"/>
        </w:rPr>
        <w:fldChar w:fldCharType="end"/>
      </w:r>
      <w:r>
        <w:rPr>
          <w:rFonts w:ascii="Times New Roman" w:hAnsi="Times New Roman" w:eastAsia="仿宋_GB2312" w:cs="Times New Roman"/>
        </w:rPr>
        <w:fldChar w:fldCharType="end"/>
      </w:r>
    </w:p>
    <w:p>
      <w:pPr>
        <w:pStyle w:val="35"/>
        <w:spacing w:after="0" w:line="380" w:lineRule="exact"/>
        <w:rPr>
          <w:rFonts w:ascii="Times New Roman" w:hAnsi="Times New Roman" w:eastAsia="仿宋_GB2312" w:cs="Times New Roman"/>
          <w:kern w:val="2"/>
          <w:sz w:val="21"/>
        </w:rPr>
      </w:pPr>
      <w:r>
        <w:fldChar w:fldCharType="begin"/>
      </w:r>
      <w:r>
        <w:instrText xml:space="preserve"> HYPERLINK \l "_Toc127266640" </w:instrText>
      </w:r>
      <w:r>
        <w:fldChar w:fldCharType="separate"/>
      </w:r>
      <w:r>
        <w:rPr>
          <w:rStyle w:val="49"/>
          <w:rFonts w:ascii="Times New Roman" w:hAnsi="Times New Roman" w:eastAsia="仿宋_GB2312" w:cs="Times New Roman"/>
        </w:rPr>
        <w:t>2.3 年度受到的生态环境行政处罚、司法判决情况</w:t>
      </w:r>
      <w:r>
        <w:rPr>
          <w:rFonts w:ascii="Times New Roman" w:hAnsi="Times New Roman" w:eastAsia="仿宋_GB2312" w:cs="Times New Roman"/>
        </w:rPr>
        <w:tab/>
      </w:r>
      <w:r>
        <w:rPr>
          <w:rFonts w:ascii="Times New Roman" w:hAnsi="Times New Roman" w:eastAsia="仿宋_GB2312" w:cs="Times New Roman"/>
        </w:rPr>
        <w:fldChar w:fldCharType="begin"/>
      </w:r>
      <w:r>
        <w:rPr>
          <w:rFonts w:ascii="Times New Roman" w:hAnsi="Times New Roman" w:eastAsia="仿宋_GB2312" w:cs="Times New Roman"/>
        </w:rPr>
        <w:instrText xml:space="preserve"> PAGEREF _Toc127266640 \h </w:instrText>
      </w:r>
      <w:r>
        <w:rPr>
          <w:rFonts w:ascii="Times New Roman" w:hAnsi="Times New Roman" w:eastAsia="仿宋_GB2312" w:cs="Times New Roman"/>
        </w:rPr>
        <w:fldChar w:fldCharType="separate"/>
      </w:r>
      <w:r>
        <w:rPr>
          <w:rFonts w:ascii="Times New Roman" w:hAnsi="Times New Roman" w:eastAsia="仿宋_GB2312" w:cs="Times New Roman"/>
        </w:rPr>
        <w:t>4</w:t>
      </w:r>
      <w:r>
        <w:rPr>
          <w:rFonts w:ascii="Times New Roman" w:hAnsi="Times New Roman" w:eastAsia="仿宋_GB2312" w:cs="Times New Roman"/>
        </w:rPr>
        <w:fldChar w:fldCharType="end"/>
      </w:r>
      <w:r>
        <w:rPr>
          <w:rFonts w:ascii="Times New Roman" w:hAnsi="Times New Roman" w:eastAsia="仿宋_GB2312" w:cs="Times New Roman"/>
        </w:rPr>
        <w:fldChar w:fldCharType="end"/>
      </w:r>
    </w:p>
    <w:p>
      <w:pPr>
        <w:pStyle w:val="29"/>
        <w:spacing w:line="380" w:lineRule="exact"/>
        <w:rPr>
          <w:rFonts w:cs="Times New Roman"/>
          <w:b w:val="0"/>
          <w:kern w:val="2"/>
          <w:sz w:val="21"/>
        </w:rPr>
      </w:pPr>
      <w:r>
        <w:fldChar w:fldCharType="begin"/>
      </w:r>
      <w:r>
        <w:instrText xml:space="preserve"> HYPERLINK \l "_Toc127266641" </w:instrText>
      </w:r>
      <w:r>
        <w:fldChar w:fldCharType="separate"/>
      </w:r>
      <w:r>
        <w:rPr>
          <w:rStyle w:val="49"/>
          <w:rFonts w:cs="Times New Roman"/>
          <w:b w:val="0"/>
        </w:rPr>
        <w:t>3 企业基本信息</w:t>
      </w:r>
      <w:r>
        <w:rPr>
          <w:rFonts w:cs="Times New Roman"/>
          <w:b w:val="0"/>
        </w:rPr>
        <w:tab/>
      </w:r>
      <w:r>
        <w:rPr>
          <w:rFonts w:cs="Times New Roman"/>
          <w:b w:val="0"/>
        </w:rPr>
        <w:fldChar w:fldCharType="begin"/>
      </w:r>
      <w:r>
        <w:rPr>
          <w:rFonts w:cs="Times New Roman"/>
          <w:b w:val="0"/>
        </w:rPr>
        <w:instrText xml:space="preserve"> PAGEREF _Toc127266641 \h </w:instrText>
      </w:r>
      <w:r>
        <w:rPr>
          <w:rFonts w:cs="Times New Roman"/>
          <w:b w:val="0"/>
        </w:rPr>
        <w:fldChar w:fldCharType="separate"/>
      </w:r>
      <w:r>
        <w:rPr>
          <w:rFonts w:cs="Times New Roman"/>
          <w:b w:val="0"/>
        </w:rPr>
        <w:t>5</w:t>
      </w:r>
      <w:r>
        <w:rPr>
          <w:rFonts w:cs="Times New Roman"/>
          <w:b w:val="0"/>
        </w:rPr>
        <w:fldChar w:fldCharType="end"/>
      </w:r>
      <w:r>
        <w:rPr>
          <w:rFonts w:cs="Times New Roman"/>
          <w:b w:val="0"/>
        </w:rPr>
        <w:fldChar w:fldCharType="end"/>
      </w:r>
    </w:p>
    <w:p>
      <w:pPr>
        <w:pStyle w:val="35"/>
        <w:spacing w:after="0" w:line="380" w:lineRule="exact"/>
        <w:rPr>
          <w:rFonts w:ascii="Times New Roman" w:hAnsi="Times New Roman" w:eastAsia="仿宋_GB2312" w:cs="Times New Roman"/>
          <w:kern w:val="2"/>
          <w:sz w:val="21"/>
        </w:rPr>
      </w:pPr>
      <w:r>
        <w:fldChar w:fldCharType="begin"/>
      </w:r>
      <w:r>
        <w:instrText xml:space="preserve"> HYPERLINK \l "_Toc127266642" </w:instrText>
      </w:r>
      <w:r>
        <w:fldChar w:fldCharType="separate"/>
      </w:r>
      <w:r>
        <w:rPr>
          <w:rStyle w:val="49"/>
          <w:rFonts w:ascii="Times New Roman" w:hAnsi="Times New Roman" w:eastAsia="仿宋_GB2312" w:cs="Times New Roman"/>
        </w:rPr>
        <w:t>3.1 企业介绍</w:t>
      </w:r>
      <w:r>
        <w:rPr>
          <w:rFonts w:ascii="Times New Roman" w:hAnsi="Times New Roman" w:eastAsia="仿宋_GB2312" w:cs="Times New Roman"/>
        </w:rPr>
        <w:tab/>
      </w:r>
      <w:r>
        <w:rPr>
          <w:rFonts w:ascii="Times New Roman" w:hAnsi="Times New Roman" w:eastAsia="仿宋_GB2312" w:cs="Times New Roman"/>
        </w:rPr>
        <w:fldChar w:fldCharType="begin"/>
      </w:r>
      <w:r>
        <w:rPr>
          <w:rFonts w:ascii="Times New Roman" w:hAnsi="Times New Roman" w:eastAsia="仿宋_GB2312" w:cs="Times New Roman"/>
        </w:rPr>
        <w:instrText xml:space="preserve"> PAGEREF _Toc127266642 \h </w:instrText>
      </w:r>
      <w:r>
        <w:rPr>
          <w:rFonts w:ascii="Times New Roman" w:hAnsi="Times New Roman" w:eastAsia="仿宋_GB2312" w:cs="Times New Roman"/>
        </w:rPr>
        <w:fldChar w:fldCharType="separate"/>
      </w:r>
      <w:r>
        <w:rPr>
          <w:rFonts w:ascii="Times New Roman" w:hAnsi="Times New Roman" w:eastAsia="仿宋_GB2312" w:cs="Times New Roman"/>
        </w:rPr>
        <w:t>5</w:t>
      </w:r>
      <w:r>
        <w:rPr>
          <w:rFonts w:ascii="Times New Roman" w:hAnsi="Times New Roman" w:eastAsia="仿宋_GB2312" w:cs="Times New Roman"/>
        </w:rPr>
        <w:fldChar w:fldCharType="end"/>
      </w:r>
      <w:r>
        <w:rPr>
          <w:rFonts w:ascii="Times New Roman" w:hAnsi="Times New Roman" w:eastAsia="仿宋_GB2312" w:cs="Times New Roman"/>
        </w:rPr>
        <w:fldChar w:fldCharType="end"/>
      </w:r>
    </w:p>
    <w:p>
      <w:pPr>
        <w:pStyle w:val="35"/>
        <w:spacing w:after="0" w:line="380" w:lineRule="exact"/>
        <w:rPr>
          <w:rFonts w:ascii="Times New Roman" w:hAnsi="Times New Roman" w:eastAsia="仿宋_GB2312" w:cs="Times New Roman"/>
          <w:kern w:val="2"/>
          <w:sz w:val="21"/>
        </w:rPr>
      </w:pPr>
      <w:r>
        <w:fldChar w:fldCharType="begin"/>
      </w:r>
      <w:r>
        <w:instrText xml:space="preserve"> HYPERLINK \l "_Toc127266643" </w:instrText>
      </w:r>
      <w:r>
        <w:fldChar w:fldCharType="separate"/>
      </w:r>
      <w:r>
        <w:rPr>
          <w:rStyle w:val="49"/>
          <w:rFonts w:ascii="Times New Roman" w:hAnsi="Times New Roman" w:eastAsia="仿宋_GB2312" w:cs="Times New Roman"/>
        </w:rPr>
        <w:t>3.2 环保机构情况</w:t>
      </w:r>
      <w:r>
        <w:rPr>
          <w:rFonts w:ascii="Times New Roman" w:hAnsi="Times New Roman" w:eastAsia="仿宋_GB2312" w:cs="Times New Roman"/>
        </w:rPr>
        <w:tab/>
      </w:r>
      <w:r>
        <w:rPr>
          <w:rFonts w:ascii="Times New Roman" w:hAnsi="Times New Roman" w:eastAsia="仿宋_GB2312" w:cs="Times New Roman"/>
        </w:rPr>
        <w:fldChar w:fldCharType="begin"/>
      </w:r>
      <w:r>
        <w:rPr>
          <w:rFonts w:ascii="Times New Roman" w:hAnsi="Times New Roman" w:eastAsia="仿宋_GB2312" w:cs="Times New Roman"/>
        </w:rPr>
        <w:instrText xml:space="preserve"> PAGEREF _Toc127266643 \h </w:instrText>
      </w:r>
      <w:r>
        <w:rPr>
          <w:rFonts w:ascii="Times New Roman" w:hAnsi="Times New Roman" w:eastAsia="仿宋_GB2312" w:cs="Times New Roman"/>
        </w:rPr>
        <w:fldChar w:fldCharType="separate"/>
      </w:r>
      <w:r>
        <w:rPr>
          <w:rFonts w:ascii="Times New Roman" w:hAnsi="Times New Roman" w:eastAsia="仿宋_GB2312" w:cs="Times New Roman"/>
        </w:rPr>
        <w:t>6</w:t>
      </w:r>
      <w:r>
        <w:rPr>
          <w:rFonts w:ascii="Times New Roman" w:hAnsi="Times New Roman" w:eastAsia="仿宋_GB2312" w:cs="Times New Roman"/>
        </w:rPr>
        <w:fldChar w:fldCharType="end"/>
      </w:r>
      <w:r>
        <w:rPr>
          <w:rFonts w:ascii="Times New Roman" w:hAnsi="Times New Roman" w:eastAsia="仿宋_GB2312" w:cs="Times New Roman"/>
        </w:rPr>
        <w:fldChar w:fldCharType="end"/>
      </w:r>
    </w:p>
    <w:p>
      <w:pPr>
        <w:pStyle w:val="35"/>
        <w:spacing w:after="0" w:line="380" w:lineRule="exact"/>
        <w:rPr>
          <w:rFonts w:ascii="Times New Roman" w:hAnsi="Times New Roman" w:eastAsia="仿宋_GB2312" w:cs="Times New Roman"/>
          <w:kern w:val="2"/>
          <w:sz w:val="21"/>
        </w:rPr>
      </w:pPr>
      <w:r>
        <w:fldChar w:fldCharType="begin"/>
      </w:r>
      <w:r>
        <w:instrText xml:space="preserve"> HYPERLINK \l "_Toc127266644" </w:instrText>
      </w:r>
      <w:r>
        <w:fldChar w:fldCharType="separate"/>
      </w:r>
      <w:r>
        <w:rPr>
          <w:rStyle w:val="49"/>
          <w:rFonts w:ascii="Times New Roman" w:hAnsi="Times New Roman" w:eastAsia="仿宋_GB2312" w:cs="Times New Roman"/>
        </w:rPr>
        <w:t>3.3 生产经营情况</w:t>
      </w:r>
      <w:r>
        <w:rPr>
          <w:rFonts w:ascii="Times New Roman" w:hAnsi="Times New Roman" w:eastAsia="仿宋_GB2312" w:cs="Times New Roman"/>
        </w:rPr>
        <w:tab/>
      </w:r>
      <w:r>
        <w:rPr>
          <w:rFonts w:ascii="Times New Roman" w:hAnsi="Times New Roman" w:eastAsia="仿宋_GB2312" w:cs="Times New Roman"/>
        </w:rPr>
        <w:fldChar w:fldCharType="begin"/>
      </w:r>
      <w:r>
        <w:rPr>
          <w:rFonts w:ascii="Times New Roman" w:hAnsi="Times New Roman" w:eastAsia="仿宋_GB2312" w:cs="Times New Roman"/>
        </w:rPr>
        <w:instrText xml:space="preserve"> PAGEREF _Toc127266644 \h </w:instrText>
      </w:r>
      <w:r>
        <w:rPr>
          <w:rFonts w:ascii="Times New Roman" w:hAnsi="Times New Roman" w:eastAsia="仿宋_GB2312" w:cs="Times New Roman"/>
        </w:rPr>
        <w:fldChar w:fldCharType="separate"/>
      </w:r>
      <w:r>
        <w:rPr>
          <w:rFonts w:ascii="Times New Roman" w:hAnsi="Times New Roman" w:eastAsia="仿宋_GB2312" w:cs="Times New Roman"/>
        </w:rPr>
        <w:t>7</w:t>
      </w:r>
      <w:r>
        <w:rPr>
          <w:rFonts w:ascii="Times New Roman" w:hAnsi="Times New Roman" w:eastAsia="仿宋_GB2312" w:cs="Times New Roman"/>
        </w:rPr>
        <w:fldChar w:fldCharType="end"/>
      </w:r>
      <w:r>
        <w:rPr>
          <w:rFonts w:ascii="Times New Roman" w:hAnsi="Times New Roman" w:eastAsia="仿宋_GB2312" w:cs="Times New Roman"/>
        </w:rPr>
        <w:fldChar w:fldCharType="end"/>
      </w:r>
    </w:p>
    <w:p>
      <w:pPr>
        <w:pStyle w:val="29"/>
        <w:spacing w:line="380" w:lineRule="exact"/>
        <w:rPr>
          <w:rFonts w:cs="Times New Roman"/>
          <w:b w:val="0"/>
          <w:kern w:val="2"/>
          <w:sz w:val="21"/>
        </w:rPr>
      </w:pPr>
      <w:r>
        <w:fldChar w:fldCharType="begin"/>
      </w:r>
      <w:r>
        <w:instrText xml:space="preserve"> HYPERLINK \l "_Toc127266645" </w:instrText>
      </w:r>
      <w:r>
        <w:fldChar w:fldCharType="separate"/>
      </w:r>
      <w:r>
        <w:rPr>
          <w:rStyle w:val="49"/>
          <w:rFonts w:cs="Times New Roman"/>
          <w:b w:val="0"/>
        </w:rPr>
        <w:t>4企业环境管理信息</w:t>
      </w:r>
      <w:r>
        <w:rPr>
          <w:rFonts w:cs="Times New Roman"/>
          <w:b w:val="0"/>
        </w:rPr>
        <w:tab/>
      </w:r>
      <w:r>
        <w:rPr>
          <w:rFonts w:cs="Times New Roman"/>
          <w:b w:val="0"/>
        </w:rPr>
        <w:fldChar w:fldCharType="begin"/>
      </w:r>
      <w:r>
        <w:rPr>
          <w:rFonts w:cs="Times New Roman"/>
          <w:b w:val="0"/>
        </w:rPr>
        <w:instrText xml:space="preserve"> PAGEREF _Toc127266645 \h </w:instrText>
      </w:r>
      <w:r>
        <w:rPr>
          <w:rFonts w:cs="Times New Roman"/>
          <w:b w:val="0"/>
        </w:rPr>
        <w:fldChar w:fldCharType="separate"/>
      </w:r>
      <w:r>
        <w:rPr>
          <w:rFonts w:cs="Times New Roman"/>
          <w:b w:val="0"/>
        </w:rPr>
        <w:t>8</w:t>
      </w:r>
      <w:r>
        <w:rPr>
          <w:rFonts w:cs="Times New Roman"/>
          <w:b w:val="0"/>
        </w:rPr>
        <w:fldChar w:fldCharType="end"/>
      </w:r>
      <w:r>
        <w:rPr>
          <w:rFonts w:cs="Times New Roman"/>
          <w:b w:val="0"/>
        </w:rPr>
        <w:fldChar w:fldCharType="end"/>
      </w:r>
    </w:p>
    <w:p>
      <w:pPr>
        <w:pStyle w:val="35"/>
        <w:spacing w:after="0" w:line="380" w:lineRule="exact"/>
        <w:rPr>
          <w:rFonts w:ascii="Times New Roman" w:hAnsi="Times New Roman" w:eastAsia="仿宋_GB2312" w:cs="Times New Roman"/>
          <w:kern w:val="2"/>
          <w:sz w:val="21"/>
        </w:rPr>
      </w:pPr>
      <w:r>
        <w:fldChar w:fldCharType="begin"/>
      </w:r>
      <w:r>
        <w:instrText xml:space="preserve"> HYPERLINK \l "_Toc127266646" </w:instrText>
      </w:r>
      <w:r>
        <w:fldChar w:fldCharType="separate"/>
      </w:r>
      <w:r>
        <w:rPr>
          <w:rStyle w:val="49"/>
          <w:rFonts w:ascii="Times New Roman" w:hAnsi="Times New Roman" w:eastAsia="仿宋_GB2312" w:cs="Times New Roman"/>
        </w:rPr>
        <w:t>4.1 生态环境行政许可情况</w:t>
      </w:r>
      <w:r>
        <w:rPr>
          <w:rFonts w:ascii="Times New Roman" w:hAnsi="Times New Roman" w:eastAsia="仿宋_GB2312" w:cs="Times New Roman"/>
        </w:rPr>
        <w:tab/>
      </w:r>
      <w:r>
        <w:rPr>
          <w:rFonts w:ascii="Times New Roman" w:hAnsi="Times New Roman" w:eastAsia="仿宋_GB2312" w:cs="Times New Roman"/>
        </w:rPr>
        <w:fldChar w:fldCharType="begin"/>
      </w:r>
      <w:r>
        <w:rPr>
          <w:rFonts w:ascii="Times New Roman" w:hAnsi="Times New Roman" w:eastAsia="仿宋_GB2312" w:cs="Times New Roman"/>
        </w:rPr>
        <w:instrText xml:space="preserve"> PAGEREF _Toc127266646 \h </w:instrText>
      </w:r>
      <w:r>
        <w:rPr>
          <w:rFonts w:ascii="Times New Roman" w:hAnsi="Times New Roman" w:eastAsia="仿宋_GB2312" w:cs="Times New Roman"/>
        </w:rPr>
        <w:fldChar w:fldCharType="separate"/>
      </w:r>
      <w:r>
        <w:rPr>
          <w:rFonts w:ascii="Times New Roman" w:hAnsi="Times New Roman" w:eastAsia="仿宋_GB2312" w:cs="Times New Roman"/>
        </w:rPr>
        <w:t>8</w:t>
      </w:r>
      <w:r>
        <w:rPr>
          <w:rFonts w:ascii="Times New Roman" w:hAnsi="Times New Roman" w:eastAsia="仿宋_GB2312" w:cs="Times New Roman"/>
        </w:rPr>
        <w:fldChar w:fldCharType="end"/>
      </w:r>
      <w:r>
        <w:rPr>
          <w:rFonts w:ascii="Times New Roman" w:hAnsi="Times New Roman" w:eastAsia="仿宋_GB2312" w:cs="Times New Roman"/>
        </w:rPr>
        <w:fldChar w:fldCharType="end"/>
      </w:r>
    </w:p>
    <w:p>
      <w:pPr>
        <w:pStyle w:val="35"/>
        <w:spacing w:after="0" w:line="380" w:lineRule="exact"/>
        <w:rPr>
          <w:rFonts w:ascii="Times New Roman" w:hAnsi="Times New Roman" w:eastAsia="仿宋_GB2312" w:cs="Times New Roman"/>
          <w:kern w:val="2"/>
          <w:sz w:val="21"/>
        </w:rPr>
      </w:pPr>
      <w:r>
        <w:fldChar w:fldCharType="begin"/>
      </w:r>
      <w:r>
        <w:instrText xml:space="preserve"> HYPERLINK \l "_Toc127266647" </w:instrText>
      </w:r>
      <w:r>
        <w:fldChar w:fldCharType="separate"/>
      </w:r>
      <w:r>
        <w:rPr>
          <w:rStyle w:val="49"/>
          <w:rFonts w:ascii="Times New Roman" w:hAnsi="Times New Roman" w:eastAsia="仿宋_GB2312" w:cs="Times New Roman"/>
        </w:rPr>
        <w:t>4.2 环境保护税缴纳情况</w:t>
      </w:r>
      <w:r>
        <w:rPr>
          <w:rFonts w:ascii="Times New Roman" w:hAnsi="Times New Roman" w:eastAsia="仿宋_GB2312" w:cs="Times New Roman"/>
        </w:rPr>
        <w:tab/>
      </w:r>
      <w:r>
        <w:rPr>
          <w:rFonts w:ascii="Times New Roman" w:hAnsi="Times New Roman" w:eastAsia="仿宋_GB2312" w:cs="Times New Roman"/>
        </w:rPr>
        <w:fldChar w:fldCharType="begin"/>
      </w:r>
      <w:r>
        <w:rPr>
          <w:rFonts w:ascii="Times New Roman" w:hAnsi="Times New Roman" w:eastAsia="仿宋_GB2312" w:cs="Times New Roman"/>
        </w:rPr>
        <w:instrText xml:space="preserve"> PAGEREF _Toc127266647 \h </w:instrText>
      </w:r>
      <w:r>
        <w:rPr>
          <w:rFonts w:ascii="Times New Roman" w:hAnsi="Times New Roman" w:eastAsia="仿宋_GB2312" w:cs="Times New Roman"/>
        </w:rPr>
        <w:fldChar w:fldCharType="separate"/>
      </w:r>
      <w:r>
        <w:rPr>
          <w:rFonts w:ascii="Times New Roman" w:hAnsi="Times New Roman" w:eastAsia="仿宋_GB2312" w:cs="Times New Roman"/>
        </w:rPr>
        <w:t>12</w:t>
      </w:r>
      <w:r>
        <w:rPr>
          <w:rFonts w:ascii="Times New Roman" w:hAnsi="Times New Roman" w:eastAsia="仿宋_GB2312" w:cs="Times New Roman"/>
        </w:rPr>
        <w:fldChar w:fldCharType="end"/>
      </w:r>
      <w:r>
        <w:rPr>
          <w:rFonts w:ascii="Times New Roman" w:hAnsi="Times New Roman" w:eastAsia="仿宋_GB2312" w:cs="Times New Roman"/>
        </w:rPr>
        <w:fldChar w:fldCharType="end"/>
      </w:r>
    </w:p>
    <w:p>
      <w:pPr>
        <w:pStyle w:val="35"/>
        <w:spacing w:after="0" w:line="380" w:lineRule="exact"/>
        <w:rPr>
          <w:rFonts w:ascii="Times New Roman" w:hAnsi="Times New Roman" w:eastAsia="仿宋_GB2312" w:cs="Times New Roman"/>
          <w:kern w:val="2"/>
          <w:sz w:val="21"/>
        </w:rPr>
      </w:pPr>
      <w:r>
        <w:fldChar w:fldCharType="begin"/>
      </w:r>
      <w:r>
        <w:instrText xml:space="preserve"> HYPERLINK \l "_Toc127266648" </w:instrText>
      </w:r>
      <w:r>
        <w:fldChar w:fldCharType="separate"/>
      </w:r>
      <w:r>
        <w:rPr>
          <w:rStyle w:val="49"/>
          <w:rFonts w:ascii="Times New Roman" w:hAnsi="Times New Roman" w:eastAsia="仿宋_GB2312" w:cs="Times New Roman"/>
        </w:rPr>
        <w:t>4.3 环境污染责任保险投保情况</w:t>
      </w:r>
      <w:r>
        <w:rPr>
          <w:rFonts w:ascii="Times New Roman" w:hAnsi="Times New Roman" w:eastAsia="仿宋_GB2312" w:cs="Times New Roman"/>
        </w:rPr>
        <w:tab/>
      </w:r>
      <w:r>
        <w:rPr>
          <w:rFonts w:ascii="Times New Roman" w:hAnsi="Times New Roman" w:eastAsia="仿宋_GB2312" w:cs="Times New Roman"/>
        </w:rPr>
        <w:fldChar w:fldCharType="begin"/>
      </w:r>
      <w:r>
        <w:rPr>
          <w:rFonts w:ascii="Times New Roman" w:hAnsi="Times New Roman" w:eastAsia="仿宋_GB2312" w:cs="Times New Roman"/>
        </w:rPr>
        <w:instrText xml:space="preserve"> PAGEREF _Toc127266648 \h </w:instrText>
      </w:r>
      <w:r>
        <w:rPr>
          <w:rFonts w:ascii="Times New Roman" w:hAnsi="Times New Roman" w:eastAsia="仿宋_GB2312" w:cs="Times New Roman"/>
        </w:rPr>
        <w:fldChar w:fldCharType="separate"/>
      </w:r>
      <w:r>
        <w:rPr>
          <w:rFonts w:ascii="Times New Roman" w:hAnsi="Times New Roman" w:eastAsia="仿宋_GB2312" w:cs="Times New Roman"/>
        </w:rPr>
        <w:t>12</w:t>
      </w:r>
      <w:r>
        <w:rPr>
          <w:rFonts w:ascii="Times New Roman" w:hAnsi="Times New Roman" w:eastAsia="仿宋_GB2312" w:cs="Times New Roman"/>
        </w:rPr>
        <w:fldChar w:fldCharType="end"/>
      </w:r>
      <w:r>
        <w:rPr>
          <w:rFonts w:ascii="Times New Roman" w:hAnsi="Times New Roman" w:eastAsia="仿宋_GB2312" w:cs="Times New Roman"/>
        </w:rPr>
        <w:fldChar w:fldCharType="end"/>
      </w:r>
    </w:p>
    <w:p>
      <w:pPr>
        <w:pStyle w:val="35"/>
        <w:spacing w:after="0" w:line="380" w:lineRule="exact"/>
        <w:rPr>
          <w:rFonts w:ascii="Times New Roman" w:hAnsi="Times New Roman" w:eastAsia="仿宋_GB2312" w:cs="Times New Roman"/>
          <w:kern w:val="2"/>
          <w:sz w:val="21"/>
        </w:rPr>
      </w:pPr>
      <w:r>
        <w:fldChar w:fldCharType="begin"/>
      </w:r>
      <w:r>
        <w:instrText xml:space="preserve"> HYPERLINK \l "_Toc127266649" </w:instrText>
      </w:r>
      <w:r>
        <w:fldChar w:fldCharType="separate"/>
      </w:r>
      <w:r>
        <w:rPr>
          <w:rStyle w:val="49"/>
          <w:rFonts w:ascii="Times New Roman" w:hAnsi="Times New Roman" w:eastAsia="仿宋_GB2312" w:cs="Times New Roman"/>
        </w:rPr>
        <w:t>4.4 环保信用评价结果</w:t>
      </w:r>
      <w:r>
        <w:rPr>
          <w:rFonts w:ascii="Times New Roman" w:hAnsi="Times New Roman" w:eastAsia="仿宋_GB2312" w:cs="Times New Roman"/>
        </w:rPr>
        <w:tab/>
      </w:r>
      <w:r>
        <w:rPr>
          <w:rFonts w:ascii="Times New Roman" w:hAnsi="Times New Roman" w:eastAsia="仿宋_GB2312" w:cs="Times New Roman"/>
        </w:rPr>
        <w:fldChar w:fldCharType="begin"/>
      </w:r>
      <w:r>
        <w:rPr>
          <w:rFonts w:ascii="Times New Roman" w:hAnsi="Times New Roman" w:eastAsia="仿宋_GB2312" w:cs="Times New Roman"/>
        </w:rPr>
        <w:instrText xml:space="preserve"> PAGEREF _Toc127266649 \h </w:instrText>
      </w:r>
      <w:r>
        <w:rPr>
          <w:rFonts w:ascii="Times New Roman" w:hAnsi="Times New Roman" w:eastAsia="仿宋_GB2312" w:cs="Times New Roman"/>
        </w:rPr>
        <w:fldChar w:fldCharType="separate"/>
      </w:r>
      <w:r>
        <w:rPr>
          <w:rFonts w:ascii="Times New Roman" w:hAnsi="Times New Roman" w:eastAsia="仿宋_GB2312" w:cs="Times New Roman"/>
        </w:rPr>
        <w:t>12</w:t>
      </w:r>
      <w:r>
        <w:rPr>
          <w:rFonts w:ascii="Times New Roman" w:hAnsi="Times New Roman" w:eastAsia="仿宋_GB2312" w:cs="Times New Roman"/>
        </w:rPr>
        <w:fldChar w:fldCharType="end"/>
      </w:r>
      <w:r>
        <w:rPr>
          <w:rFonts w:ascii="Times New Roman" w:hAnsi="Times New Roman" w:eastAsia="仿宋_GB2312" w:cs="Times New Roman"/>
        </w:rPr>
        <w:fldChar w:fldCharType="end"/>
      </w:r>
    </w:p>
    <w:p>
      <w:pPr>
        <w:pStyle w:val="29"/>
        <w:spacing w:line="380" w:lineRule="exact"/>
        <w:rPr>
          <w:rFonts w:cs="Times New Roman"/>
          <w:b w:val="0"/>
          <w:kern w:val="2"/>
          <w:sz w:val="21"/>
        </w:rPr>
      </w:pPr>
      <w:r>
        <w:fldChar w:fldCharType="begin"/>
      </w:r>
      <w:r>
        <w:instrText xml:space="preserve"> HYPERLINK \l "_Toc127266650" </w:instrText>
      </w:r>
      <w:r>
        <w:fldChar w:fldCharType="separate"/>
      </w:r>
      <w:r>
        <w:rPr>
          <w:rStyle w:val="49"/>
          <w:rFonts w:cs="Times New Roman"/>
          <w:b w:val="0"/>
        </w:rPr>
        <w:t>5污染物产生、治理与排放信息</w:t>
      </w:r>
      <w:r>
        <w:rPr>
          <w:rFonts w:cs="Times New Roman"/>
          <w:b w:val="0"/>
        </w:rPr>
        <w:tab/>
      </w:r>
      <w:r>
        <w:rPr>
          <w:rFonts w:cs="Times New Roman"/>
          <w:b w:val="0"/>
        </w:rPr>
        <w:fldChar w:fldCharType="begin"/>
      </w:r>
      <w:r>
        <w:rPr>
          <w:rFonts w:cs="Times New Roman"/>
          <w:b w:val="0"/>
        </w:rPr>
        <w:instrText xml:space="preserve"> PAGEREF _Toc127266650 \h </w:instrText>
      </w:r>
      <w:r>
        <w:rPr>
          <w:rFonts w:cs="Times New Roman"/>
          <w:b w:val="0"/>
        </w:rPr>
        <w:fldChar w:fldCharType="separate"/>
      </w:r>
      <w:r>
        <w:rPr>
          <w:rFonts w:cs="Times New Roman"/>
          <w:b w:val="0"/>
        </w:rPr>
        <w:t>14</w:t>
      </w:r>
      <w:r>
        <w:rPr>
          <w:rFonts w:cs="Times New Roman"/>
          <w:b w:val="0"/>
        </w:rPr>
        <w:fldChar w:fldCharType="end"/>
      </w:r>
      <w:r>
        <w:rPr>
          <w:rFonts w:cs="Times New Roman"/>
          <w:b w:val="0"/>
        </w:rPr>
        <w:fldChar w:fldCharType="end"/>
      </w:r>
    </w:p>
    <w:p>
      <w:pPr>
        <w:pStyle w:val="35"/>
        <w:spacing w:after="0" w:line="380" w:lineRule="exact"/>
        <w:rPr>
          <w:rFonts w:ascii="Times New Roman" w:hAnsi="Times New Roman" w:eastAsia="仿宋_GB2312" w:cs="Times New Roman"/>
          <w:kern w:val="2"/>
          <w:sz w:val="21"/>
        </w:rPr>
      </w:pPr>
      <w:r>
        <w:fldChar w:fldCharType="begin"/>
      </w:r>
      <w:r>
        <w:instrText xml:space="preserve"> HYPERLINK \l "_Toc127266651" </w:instrText>
      </w:r>
      <w:r>
        <w:fldChar w:fldCharType="separate"/>
      </w:r>
      <w:r>
        <w:rPr>
          <w:rStyle w:val="49"/>
          <w:rFonts w:ascii="Times New Roman" w:hAnsi="Times New Roman" w:eastAsia="仿宋_GB2312" w:cs="Times New Roman"/>
        </w:rPr>
        <w:t>5.1 污染防治设施信息</w:t>
      </w:r>
      <w:r>
        <w:rPr>
          <w:rFonts w:ascii="Times New Roman" w:hAnsi="Times New Roman" w:eastAsia="仿宋_GB2312" w:cs="Times New Roman"/>
        </w:rPr>
        <w:tab/>
      </w:r>
      <w:r>
        <w:rPr>
          <w:rFonts w:ascii="Times New Roman" w:hAnsi="Times New Roman" w:eastAsia="仿宋_GB2312" w:cs="Times New Roman"/>
        </w:rPr>
        <w:fldChar w:fldCharType="begin"/>
      </w:r>
      <w:r>
        <w:rPr>
          <w:rFonts w:ascii="Times New Roman" w:hAnsi="Times New Roman" w:eastAsia="仿宋_GB2312" w:cs="Times New Roman"/>
        </w:rPr>
        <w:instrText xml:space="preserve"> PAGEREF _Toc127266651 \h </w:instrText>
      </w:r>
      <w:r>
        <w:rPr>
          <w:rFonts w:ascii="Times New Roman" w:hAnsi="Times New Roman" w:eastAsia="仿宋_GB2312" w:cs="Times New Roman"/>
        </w:rPr>
        <w:fldChar w:fldCharType="separate"/>
      </w:r>
      <w:r>
        <w:rPr>
          <w:rFonts w:ascii="Times New Roman" w:hAnsi="Times New Roman" w:eastAsia="仿宋_GB2312" w:cs="Times New Roman"/>
        </w:rPr>
        <w:t>14</w:t>
      </w:r>
      <w:r>
        <w:rPr>
          <w:rFonts w:ascii="Times New Roman" w:hAnsi="Times New Roman" w:eastAsia="仿宋_GB2312" w:cs="Times New Roman"/>
        </w:rPr>
        <w:fldChar w:fldCharType="end"/>
      </w:r>
      <w:r>
        <w:rPr>
          <w:rFonts w:ascii="Times New Roman" w:hAnsi="Times New Roman" w:eastAsia="仿宋_GB2312" w:cs="Times New Roman"/>
        </w:rPr>
        <w:fldChar w:fldCharType="end"/>
      </w:r>
    </w:p>
    <w:p>
      <w:pPr>
        <w:pStyle w:val="35"/>
        <w:spacing w:after="0" w:line="380" w:lineRule="exact"/>
        <w:rPr>
          <w:rFonts w:ascii="Times New Roman" w:hAnsi="Times New Roman" w:eastAsia="仿宋_GB2312" w:cs="Times New Roman"/>
          <w:kern w:val="2"/>
          <w:sz w:val="21"/>
        </w:rPr>
      </w:pPr>
      <w:r>
        <w:fldChar w:fldCharType="begin"/>
      </w:r>
      <w:r>
        <w:instrText xml:space="preserve"> HYPERLINK \l "_Toc127266652" </w:instrText>
      </w:r>
      <w:r>
        <w:fldChar w:fldCharType="separate"/>
      </w:r>
      <w:r>
        <w:rPr>
          <w:rStyle w:val="49"/>
          <w:rFonts w:ascii="Times New Roman" w:hAnsi="Times New Roman" w:eastAsia="仿宋_GB2312" w:cs="Times New Roman"/>
        </w:rPr>
        <w:t>5.2 主要水污染物、大气污染物排放相关信息</w:t>
      </w:r>
      <w:r>
        <w:rPr>
          <w:rFonts w:ascii="Times New Roman" w:hAnsi="Times New Roman" w:eastAsia="仿宋_GB2312" w:cs="Times New Roman"/>
        </w:rPr>
        <w:tab/>
      </w:r>
      <w:r>
        <w:rPr>
          <w:rFonts w:ascii="Times New Roman" w:hAnsi="Times New Roman" w:eastAsia="仿宋_GB2312" w:cs="Times New Roman"/>
        </w:rPr>
        <w:fldChar w:fldCharType="begin"/>
      </w:r>
      <w:r>
        <w:rPr>
          <w:rFonts w:ascii="Times New Roman" w:hAnsi="Times New Roman" w:eastAsia="仿宋_GB2312" w:cs="Times New Roman"/>
        </w:rPr>
        <w:instrText xml:space="preserve"> PAGEREF _Toc127266652 \h </w:instrText>
      </w:r>
      <w:r>
        <w:rPr>
          <w:rFonts w:ascii="Times New Roman" w:hAnsi="Times New Roman" w:eastAsia="仿宋_GB2312" w:cs="Times New Roman"/>
        </w:rPr>
        <w:fldChar w:fldCharType="separate"/>
      </w:r>
      <w:r>
        <w:rPr>
          <w:rFonts w:ascii="Times New Roman" w:hAnsi="Times New Roman" w:eastAsia="仿宋_GB2312" w:cs="Times New Roman"/>
        </w:rPr>
        <w:t>16</w:t>
      </w:r>
      <w:r>
        <w:rPr>
          <w:rFonts w:ascii="Times New Roman" w:hAnsi="Times New Roman" w:eastAsia="仿宋_GB2312" w:cs="Times New Roman"/>
        </w:rPr>
        <w:fldChar w:fldCharType="end"/>
      </w:r>
      <w:r>
        <w:rPr>
          <w:rFonts w:ascii="Times New Roman" w:hAnsi="Times New Roman" w:eastAsia="仿宋_GB2312" w:cs="Times New Roman"/>
        </w:rPr>
        <w:fldChar w:fldCharType="end"/>
      </w:r>
    </w:p>
    <w:p>
      <w:pPr>
        <w:pStyle w:val="35"/>
        <w:spacing w:after="0" w:line="380" w:lineRule="exact"/>
        <w:rPr>
          <w:rFonts w:ascii="Times New Roman" w:hAnsi="Times New Roman" w:eastAsia="仿宋_GB2312" w:cs="Times New Roman"/>
          <w:kern w:val="2"/>
          <w:sz w:val="21"/>
        </w:rPr>
      </w:pPr>
      <w:r>
        <w:fldChar w:fldCharType="begin"/>
      </w:r>
      <w:r>
        <w:instrText xml:space="preserve"> HYPERLINK \l "_Toc127266653" </w:instrText>
      </w:r>
      <w:r>
        <w:fldChar w:fldCharType="separate"/>
      </w:r>
      <w:r>
        <w:rPr>
          <w:rStyle w:val="49"/>
          <w:rFonts w:ascii="Times New Roman" w:hAnsi="Times New Roman" w:eastAsia="仿宋_GB2312" w:cs="Times New Roman"/>
        </w:rPr>
        <w:t>5.3 工业固体废物的产生、贮存、流向和利用处置信息</w:t>
      </w:r>
      <w:r>
        <w:rPr>
          <w:rFonts w:ascii="Times New Roman" w:hAnsi="Times New Roman" w:eastAsia="仿宋_GB2312" w:cs="Times New Roman"/>
        </w:rPr>
        <w:tab/>
      </w:r>
      <w:r>
        <w:rPr>
          <w:rFonts w:ascii="Times New Roman" w:hAnsi="Times New Roman" w:eastAsia="仿宋_GB2312" w:cs="Times New Roman"/>
        </w:rPr>
        <w:fldChar w:fldCharType="begin"/>
      </w:r>
      <w:r>
        <w:rPr>
          <w:rFonts w:ascii="Times New Roman" w:hAnsi="Times New Roman" w:eastAsia="仿宋_GB2312" w:cs="Times New Roman"/>
        </w:rPr>
        <w:instrText xml:space="preserve"> PAGEREF _Toc127266653 \h </w:instrText>
      </w:r>
      <w:r>
        <w:rPr>
          <w:rFonts w:ascii="Times New Roman" w:hAnsi="Times New Roman" w:eastAsia="仿宋_GB2312" w:cs="Times New Roman"/>
        </w:rPr>
        <w:fldChar w:fldCharType="separate"/>
      </w:r>
      <w:r>
        <w:rPr>
          <w:rFonts w:ascii="Times New Roman" w:hAnsi="Times New Roman" w:eastAsia="仿宋_GB2312" w:cs="Times New Roman"/>
        </w:rPr>
        <w:t>18</w:t>
      </w:r>
      <w:r>
        <w:rPr>
          <w:rFonts w:ascii="Times New Roman" w:hAnsi="Times New Roman" w:eastAsia="仿宋_GB2312" w:cs="Times New Roman"/>
        </w:rPr>
        <w:fldChar w:fldCharType="end"/>
      </w:r>
      <w:r>
        <w:rPr>
          <w:rFonts w:ascii="Times New Roman" w:hAnsi="Times New Roman" w:eastAsia="仿宋_GB2312" w:cs="Times New Roman"/>
        </w:rPr>
        <w:fldChar w:fldCharType="end"/>
      </w:r>
    </w:p>
    <w:p>
      <w:pPr>
        <w:pStyle w:val="35"/>
        <w:spacing w:after="0" w:line="380" w:lineRule="exact"/>
        <w:rPr>
          <w:rFonts w:ascii="Times New Roman" w:hAnsi="Times New Roman" w:eastAsia="仿宋_GB2312" w:cs="Times New Roman"/>
          <w:kern w:val="2"/>
          <w:sz w:val="21"/>
        </w:rPr>
      </w:pPr>
      <w:r>
        <w:fldChar w:fldCharType="begin"/>
      </w:r>
      <w:r>
        <w:instrText xml:space="preserve"> HYPERLINK \l "_Toc127266654" </w:instrText>
      </w:r>
      <w:r>
        <w:fldChar w:fldCharType="separate"/>
      </w:r>
      <w:r>
        <w:rPr>
          <w:rStyle w:val="49"/>
          <w:rFonts w:ascii="Times New Roman" w:hAnsi="Times New Roman" w:eastAsia="仿宋_GB2312" w:cs="Times New Roman"/>
        </w:rPr>
        <w:t>5.4 有毒有害物质排放信息</w:t>
      </w:r>
      <w:r>
        <w:rPr>
          <w:rFonts w:ascii="Times New Roman" w:hAnsi="Times New Roman" w:eastAsia="仿宋_GB2312" w:cs="Times New Roman"/>
        </w:rPr>
        <w:tab/>
      </w:r>
      <w:r>
        <w:rPr>
          <w:rFonts w:ascii="Times New Roman" w:hAnsi="Times New Roman" w:eastAsia="仿宋_GB2312" w:cs="Times New Roman"/>
        </w:rPr>
        <w:fldChar w:fldCharType="begin"/>
      </w:r>
      <w:r>
        <w:rPr>
          <w:rFonts w:ascii="Times New Roman" w:hAnsi="Times New Roman" w:eastAsia="仿宋_GB2312" w:cs="Times New Roman"/>
        </w:rPr>
        <w:instrText xml:space="preserve"> PAGEREF _Toc127266654 \h </w:instrText>
      </w:r>
      <w:r>
        <w:rPr>
          <w:rFonts w:ascii="Times New Roman" w:hAnsi="Times New Roman" w:eastAsia="仿宋_GB2312" w:cs="Times New Roman"/>
        </w:rPr>
        <w:fldChar w:fldCharType="separate"/>
      </w:r>
      <w:r>
        <w:rPr>
          <w:rFonts w:ascii="Times New Roman" w:hAnsi="Times New Roman" w:eastAsia="仿宋_GB2312" w:cs="Times New Roman"/>
        </w:rPr>
        <w:t>23</w:t>
      </w:r>
      <w:r>
        <w:rPr>
          <w:rFonts w:ascii="Times New Roman" w:hAnsi="Times New Roman" w:eastAsia="仿宋_GB2312" w:cs="Times New Roman"/>
        </w:rPr>
        <w:fldChar w:fldCharType="end"/>
      </w:r>
      <w:r>
        <w:rPr>
          <w:rFonts w:ascii="Times New Roman" w:hAnsi="Times New Roman" w:eastAsia="仿宋_GB2312" w:cs="Times New Roman"/>
        </w:rPr>
        <w:fldChar w:fldCharType="end"/>
      </w:r>
    </w:p>
    <w:p>
      <w:pPr>
        <w:pStyle w:val="35"/>
        <w:spacing w:after="0" w:line="380" w:lineRule="exact"/>
        <w:rPr>
          <w:rFonts w:ascii="Times New Roman" w:hAnsi="Times New Roman" w:eastAsia="仿宋_GB2312" w:cs="Times New Roman"/>
          <w:kern w:val="2"/>
          <w:sz w:val="21"/>
        </w:rPr>
      </w:pPr>
      <w:r>
        <w:fldChar w:fldCharType="begin"/>
      </w:r>
      <w:r>
        <w:instrText xml:space="preserve"> HYPERLINK \l "_Toc127266655" </w:instrText>
      </w:r>
      <w:r>
        <w:fldChar w:fldCharType="separate"/>
      </w:r>
      <w:r>
        <w:rPr>
          <w:rStyle w:val="49"/>
          <w:rFonts w:ascii="Times New Roman" w:hAnsi="Times New Roman" w:eastAsia="仿宋_GB2312" w:cs="Times New Roman"/>
        </w:rPr>
        <w:t>5.5 噪声排放情况</w:t>
      </w:r>
      <w:r>
        <w:rPr>
          <w:rFonts w:ascii="Times New Roman" w:hAnsi="Times New Roman" w:eastAsia="仿宋_GB2312" w:cs="Times New Roman"/>
        </w:rPr>
        <w:tab/>
      </w:r>
      <w:r>
        <w:rPr>
          <w:rFonts w:ascii="Times New Roman" w:hAnsi="Times New Roman" w:eastAsia="仿宋_GB2312" w:cs="Times New Roman"/>
        </w:rPr>
        <w:fldChar w:fldCharType="begin"/>
      </w:r>
      <w:r>
        <w:rPr>
          <w:rFonts w:ascii="Times New Roman" w:hAnsi="Times New Roman" w:eastAsia="仿宋_GB2312" w:cs="Times New Roman"/>
        </w:rPr>
        <w:instrText xml:space="preserve"> PAGEREF _Toc127266655 \h </w:instrText>
      </w:r>
      <w:r>
        <w:rPr>
          <w:rFonts w:ascii="Times New Roman" w:hAnsi="Times New Roman" w:eastAsia="仿宋_GB2312" w:cs="Times New Roman"/>
        </w:rPr>
        <w:fldChar w:fldCharType="separate"/>
      </w:r>
      <w:r>
        <w:rPr>
          <w:rFonts w:ascii="Times New Roman" w:hAnsi="Times New Roman" w:eastAsia="仿宋_GB2312" w:cs="Times New Roman"/>
        </w:rPr>
        <w:t>23</w:t>
      </w:r>
      <w:r>
        <w:rPr>
          <w:rFonts w:ascii="Times New Roman" w:hAnsi="Times New Roman" w:eastAsia="仿宋_GB2312" w:cs="Times New Roman"/>
        </w:rPr>
        <w:fldChar w:fldCharType="end"/>
      </w:r>
      <w:r>
        <w:rPr>
          <w:rFonts w:ascii="Times New Roman" w:hAnsi="Times New Roman" w:eastAsia="仿宋_GB2312" w:cs="Times New Roman"/>
        </w:rPr>
        <w:fldChar w:fldCharType="end"/>
      </w:r>
    </w:p>
    <w:p>
      <w:pPr>
        <w:pStyle w:val="35"/>
        <w:spacing w:after="0" w:line="380" w:lineRule="exact"/>
        <w:rPr>
          <w:rFonts w:ascii="Times New Roman" w:hAnsi="Times New Roman" w:eastAsia="仿宋_GB2312" w:cs="Times New Roman"/>
          <w:kern w:val="2"/>
          <w:sz w:val="21"/>
        </w:rPr>
      </w:pPr>
      <w:r>
        <w:fldChar w:fldCharType="begin"/>
      </w:r>
      <w:r>
        <w:instrText xml:space="preserve"> HYPERLINK \l "_Toc127266656" </w:instrText>
      </w:r>
      <w:r>
        <w:fldChar w:fldCharType="separate"/>
      </w:r>
      <w:r>
        <w:rPr>
          <w:rStyle w:val="49"/>
          <w:rFonts w:ascii="Times New Roman" w:hAnsi="Times New Roman" w:eastAsia="仿宋_GB2312" w:cs="Times New Roman"/>
        </w:rPr>
        <w:t>5.6 扬尘污染情况</w:t>
      </w:r>
      <w:r>
        <w:rPr>
          <w:rFonts w:ascii="Times New Roman" w:hAnsi="Times New Roman" w:eastAsia="仿宋_GB2312" w:cs="Times New Roman"/>
        </w:rPr>
        <w:tab/>
      </w:r>
      <w:r>
        <w:rPr>
          <w:rFonts w:ascii="Times New Roman" w:hAnsi="Times New Roman" w:eastAsia="仿宋_GB2312" w:cs="Times New Roman"/>
        </w:rPr>
        <w:fldChar w:fldCharType="begin"/>
      </w:r>
      <w:r>
        <w:rPr>
          <w:rFonts w:ascii="Times New Roman" w:hAnsi="Times New Roman" w:eastAsia="仿宋_GB2312" w:cs="Times New Roman"/>
        </w:rPr>
        <w:instrText xml:space="preserve"> PAGEREF _Toc127266656 \h </w:instrText>
      </w:r>
      <w:r>
        <w:rPr>
          <w:rFonts w:ascii="Times New Roman" w:hAnsi="Times New Roman" w:eastAsia="仿宋_GB2312" w:cs="Times New Roman"/>
        </w:rPr>
        <w:fldChar w:fldCharType="separate"/>
      </w:r>
      <w:r>
        <w:rPr>
          <w:rFonts w:ascii="Times New Roman" w:hAnsi="Times New Roman" w:eastAsia="仿宋_GB2312" w:cs="Times New Roman"/>
        </w:rPr>
        <w:t>23</w:t>
      </w:r>
      <w:r>
        <w:rPr>
          <w:rFonts w:ascii="Times New Roman" w:hAnsi="Times New Roman" w:eastAsia="仿宋_GB2312" w:cs="Times New Roman"/>
        </w:rPr>
        <w:fldChar w:fldCharType="end"/>
      </w:r>
      <w:r>
        <w:rPr>
          <w:rFonts w:ascii="Times New Roman" w:hAnsi="Times New Roman" w:eastAsia="仿宋_GB2312" w:cs="Times New Roman"/>
        </w:rPr>
        <w:fldChar w:fldCharType="end"/>
      </w:r>
    </w:p>
    <w:p>
      <w:pPr>
        <w:pStyle w:val="35"/>
        <w:spacing w:after="0" w:line="380" w:lineRule="exact"/>
        <w:rPr>
          <w:rFonts w:ascii="Times New Roman" w:hAnsi="Times New Roman" w:eastAsia="仿宋_GB2312" w:cs="Times New Roman"/>
          <w:kern w:val="2"/>
          <w:sz w:val="21"/>
        </w:rPr>
      </w:pPr>
      <w:r>
        <w:fldChar w:fldCharType="begin"/>
      </w:r>
      <w:r>
        <w:instrText xml:space="preserve"> HYPERLINK \l "_Toc127266657" </w:instrText>
      </w:r>
      <w:r>
        <w:fldChar w:fldCharType="separate"/>
      </w:r>
      <w:r>
        <w:rPr>
          <w:rStyle w:val="49"/>
          <w:rFonts w:ascii="Times New Roman" w:hAnsi="Times New Roman" w:eastAsia="仿宋_GB2312" w:cs="Times New Roman"/>
        </w:rPr>
        <w:t>5.7 排污许可证执行报告信息</w:t>
      </w:r>
      <w:r>
        <w:rPr>
          <w:rFonts w:ascii="Times New Roman" w:hAnsi="Times New Roman" w:eastAsia="仿宋_GB2312" w:cs="Times New Roman"/>
        </w:rPr>
        <w:tab/>
      </w:r>
      <w:r>
        <w:rPr>
          <w:rFonts w:ascii="Times New Roman" w:hAnsi="Times New Roman" w:eastAsia="仿宋_GB2312" w:cs="Times New Roman"/>
        </w:rPr>
        <w:fldChar w:fldCharType="begin"/>
      </w:r>
      <w:r>
        <w:rPr>
          <w:rFonts w:ascii="Times New Roman" w:hAnsi="Times New Roman" w:eastAsia="仿宋_GB2312" w:cs="Times New Roman"/>
        </w:rPr>
        <w:instrText xml:space="preserve"> PAGEREF _Toc127266657 \h </w:instrText>
      </w:r>
      <w:r>
        <w:rPr>
          <w:rFonts w:ascii="Times New Roman" w:hAnsi="Times New Roman" w:eastAsia="仿宋_GB2312" w:cs="Times New Roman"/>
        </w:rPr>
        <w:fldChar w:fldCharType="separate"/>
      </w:r>
      <w:r>
        <w:rPr>
          <w:rFonts w:ascii="Times New Roman" w:hAnsi="Times New Roman" w:eastAsia="仿宋_GB2312" w:cs="Times New Roman"/>
        </w:rPr>
        <w:t>24</w:t>
      </w:r>
      <w:r>
        <w:rPr>
          <w:rFonts w:ascii="Times New Roman" w:hAnsi="Times New Roman" w:eastAsia="仿宋_GB2312" w:cs="Times New Roman"/>
        </w:rPr>
        <w:fldChar w:fldCharType="end"/>
      </w:r>
      <w:r>
        <w:rPr>
          <w:rFonts w:ascii="Times New Roman" w:hAnsi="Times New Roman" w:eastAsia="仿宋_GB2312" w:cs="Times New Roman"/>
        </w:rPr>
        <w:fldChar w:fldCharType="end"/>
      </w:r>
    </w:p>
    <w:p>
      <w:pPr>
        <w:pStyle w:val="29"/>
        <w:spacing w:line="380" w:lineRule="exact"/>
        <w:rPr>
          <w:rFonts w:cs="Times New Roman"/>
          <w:b w:val="0"/>
          <w:kern w:val="2"/>
          <w:sz w:val="21"/>
        </w:rPr>
      </w:pPr>
      <w:r>
        <w:fldChar w:fldCharType="begin"/>
      </w:r>
      <w:r>
        <w:instrText xml:space="preserve"> HYPERLINK \l "_Toc127266658" </w:instrText>
      </w:r>
      <w:r>
        <w:fldChar w:fldCharType="separate"/>
      </w:r>
      <w:r>
        <w:rPr>
          <w:rStyle w:val="49"/>
          <w:rFonts w:cs="Times New Roman"/>
          <w:b w:val="0"/>
        </w:rPr>
        <w:t>6 碳排放信息</w:t>
      </w:r>
      <w:r>
        <w:rPr>
          <w:rFonts w:cs="Times New Roman"/>
          <w:b w:val="0"/>
        </w:rPr>
        <w:tab/>
      </w:r>
      <w:r>
        <w:rPr>
          <w:rFonts w:cs="Times New Roman"/>
          <w:b w:val="0"/>
        </w:rPr>
        <w:fldChar w:fldCharType="begin"/>
      </w:r>
      <w:r>
        <w:rPr>
          <w:rFonts w:cs="Times New Roman"/>
          <w:b w:val="0"/>
        </w:rPr>
        <w:instrText xml:space="preserve"> PAGEREF _Toc127266658 \h </w:instrText>
      </w:r>
      <w:r>
        <w:rPr>
          <w:rFonts w:cs="Times New Roman"/>
          <w:b w:val="0"/>
        </w:rPr>
        <w:fldChar w:fldCharType="separate"/>
      </w:r>
      <w:r>
        <w:rPr>
          <w:rFonts w:cs="Times New Roman"/>
          <w:b w:val="0"/>
        </w:rPr>
        <w:t>26</w:t>
      </w:r>
      <w:r>
        <w:rPr>
          <w:rFonts w:cs="Times New Roman"/>
          <w:b w:val="0"/>
        </w:rPr>
        <w:fldChar w:fldCharType="end"/>
      </w:r>
      <w:r>
        <w:rPr>
          <w:rFonts w:cs="Times New Roman"/>
          <w:b w:val="0"/>
        </w:rPr>
        <w:fldChar w:fldCharType="end"/>
      </w:r>
    </w:p>
    <w:p>
      <w:pPr>
        <w:pStyle w:val="29"/>
        <w:spacing w:line="380" w:lineRule="exact"/>
        <w:rPr>
          <w:rFonts w:cs="Times New Roman"/>
          <w:b w:val="0"/>
          <w:kern w:val="2"/>
          <w:sz w:val="21"/>
        </w:rPr>
      </w:pPr>
      <w:r>
        <w:fldChar w:fldCharType="begin"/>
      </w:r>
      <w:r>
        <w:instrText xml:space="preserve"> HYPERLINK \l "_Toc127266659" </w:instrText>
      </w:r>
      <w:r>
        <w:fldChar w:fldCharType="separate"/>
      </w:r>
      <w:r>
        <w:rPr>
          <w:rStyle w:val="49"/>
          <w:rFonts w:cs="Times New Roman"/>
          <w:b w:val="0"/>
        </w:rPr>
        <w:t>7 强制性清洁生产审核信息</w:t>
      </w:r>
      <w:r>
        <w:rPr>
          <w:rFonts w:cs="Times New Roman"/>
          <w:b w:val="0"/>
        </w:rPr>
        <w:tab/>
      </w:r>
      <w:r>
        <w:rPr>
          <w:rFonts w:cs="Times New Roman"/>
          <w:b w:val="0"/>
        </w:rPr>
        <w:fldChar w:fldCharType="begin"/>
      </w:r>
      <w:r>
        <w:rPr>
          <w:rFonts w:cs="Times New Roman"/>
          <w:b w:val="0"/>
        </w:rPr>
        <w:instrText xml:space="preserve"> PAGEREF _Toc127266659 \h </w:instrText>
      </w:r>
      <w:r>
        <w:rPr>
          <w:rFonts w:cs="Times New Roman"/>
          <w:b w:val="0"/>
        </w:rPr>
        <w:fldChar w:fldCharType="separate"/>
      </w:r>
      <w:r>
        <w:rPr>
          <w:rFonts w:cs="Times New Roman"/>
          <w:b w:val="0"/>
        </w:rPr>
        <w:t>27</w:t>
      </w:r>
      <w:r>
        <w:rPr>
          <w:rFonts w:cs="Times New Roman"/>
          <w:b w:val="0"/>
        </w:rPr>
        <w:fldChar w:fldCharType="end"/>
      </w:r>
      <w:r>
        <w:rPr>
          <w:rFonts w:cs="Times New Roman"/>
          <w:b w:val="0"/>
        </w:rPr>
        <w:fldChar w:fldCharType="end"/>
      </w:r>
    </w:p>
    <w:p>
      <w:pPr>
        <w:pStyle w:val="29"/>
        <w:spacing w:line="380" w:lineRule="exact"/>
        <w:rPr>
          <w:rFonts w:cs="Times New Roman"/>
          <w:b w:val="0"/>
          <w:kern w:val="2"/>
          <w:sz w:val="21"/>
        </w:rPr>
      </w:pPr>
      <w:r>
        <w:fldChar w:fldCharType="begin"/>
      </w:r>
      <w:r>
        <w:instrText xml:space="preserve"> HYPERLINK \l "_Toc127266660" </w:instrText>
      </w:r>
      <w:r>
        <w:fldChar w:fldCharType="separate"/>
      </w:r>
      <w:r>
        <w:rPr>
          <w:rStyle w:val="49"/>
          <w:rFonts w:cs="Times New Roman"/>
          <w:b w:val="0"/>
        </w:rPr>
        <w:t>8 生态环境应急信息</w:t>
      </w:r>
      <w:r>
        <w:rPr>
          <w:rFonts w:cs="Times New Roman"/>
          <w:b w:val="0"/>
        </w:rPr>
        <w:tab/>
      </w:r>
      <w:r>
        <w:rPr>
          <w:rFonts w:cs="Times New Roman"/>
          <w:b w:val="0"/>
        </w:rPr>
        <w:fldChar w:fldCharType="begin"/>
      </w:r>
      <w:r>
        <w:rPr>
          <w:rFonts w:cs="Times New Roman"/>
          <w:b w:val="0"/>
        </w:rPr>
        <w:instrText xml:space="preserve"> PAGEREF _Toc127266660 \h </w:instrText>
      </w:r>
      <w:r>
        <w:rPr>
          <w:rFonts w:cs="Times New Roman"/>
          <w:b w:val="0"/>
        </w:rPr>
        <w:fldChar w:fldCharType="separate"/>
      </w:r>
      <w:r>
        <w:rPr>
          <w:rFonts w:cs="Times New Roman"/>
          <w:b w:val="0"/>
        </w:rPr>
        <w:t>28</w:t>
      </w:r>
      <w:r>
        <w:rPr>
          <w:rFonts w:cs="Times New Roman"/>
          <w:b w:val="0"/>
        </w:rPr>
        <w:fldChar w:fldCharType="end"/>
      </w:r>
      <w:r>
        <w:rPr>
          <w:rFonts w:cs="Times New Roman"/>
          <w:b w:val="0"/>
        </w:rPr>
        <w:fldChar w:fldCharType="end"/>
      </w:r>
    </w:p>
    <w:p>
      <w:pPr>
        <w:pStyle w:val="35"/>
        <w:spacing w:after="0" w:line="380" w:lineRule="exact"/>
        <w:rPr>
          <w:rFonts w:ascii="Times New Roman" w:hAnsi="Times New Roman" w:eastAsia="仿宋_GB2312" w:cs="Times New Roman"/>
          <w:kern w:val="2"/>
          <w:sz w:val="21"/>
        </w:rPr>
      </w:pPr>
      <w:r>
        <w:fldChar w:fldCharType="begin"/>
      </w:r>
      <w:r>
        <w:instrText xml:space="preserve"> HYPERLINK \l "_Toc127266661" </w:instrText>
      </w:r>
      <w:r>
        <w:fldChar w:fldCharType="separate"/>
      </w:r>
      <w:r>
        <w:rPr>
          <w:rStyle w:val="49"/>
          <w:rFonts w:ascii="Times New Roman" w:hAnsi="Times New Roman" w:eastAsia="仿宋_GB2312" w:cs="Times New Roman"/>
        </w:rPr>
        <w:t>8.1突发环境事件应急预案</w:t>
      </w:r>
      <w:r>
        <w:rPr>
          <w:rFonts w:ascii="Times New Roman" w:hAnsi="Times New Roman" w:eastAsia="仿宋_GB2312" w:cs="Times New Roman"/>
        </w:rPr>
        <w:tab/>
      </w:r>
      <w:r>
        <w:rPr>
          <w:rFonts w:ascii="Times New Roman" w:hAnsi="Times New Roman" w:eastAsia="仿宋_GB2312" w:cs="Times New Roman"/>
        </w:rPr>
        <w:fldChar w:fldCharType="begin"/>
      </w:r>
      <w:r>
        <w:rPr>
          <w:rFonts w:ascii="Times New Roman" w:hAnsi="Times New Roman" w:eastAsia="仿宋_GB2312" w:cs="Times New Roman"/>
        </w:rPr>
        <w:instrText xml:space="preserve"> PAGEREF _Toc127266661 \h </w:instrText>
      </w:r>
      <w:r>
        <w:rPr>
          <w:rFonts w:ascii="Times New Roman" w:hAnsi="Times New Roman" w:eastAsia="仿宋_GB2312" w:cs="Times New Roman"/>
        </w:rPr>
        <w:fldChar w:fldCharType="separate"/>
      </w:r>
      <w:r>
        <w:rPr>
          <w:rFonts w:ascii="Times New Roman" w:hAnsi="Times New Roman" w:eastAsia="仿宋_GB2312" w:cs="Times New Roman"/>
        </w:rPr>
        <w:t>28</w:t>
      </w:r>
      <w:r>
        <w:rPr>
          <w:rFonts w:ascii="Times New Roman" w:hAnsi="Times New Roman" w:eastAsia="仿宋_GB2312" w:cs="Times New Roman"/>
        </w:rPr>
        <w:fldChar w:fldCharType="end"/>
      </w:r>
      <w:r>
        <w:rPr>
          <w:rFonts w:ascii="Times New Roman" w:hAnsi="Times New Roman" w:eastAsia="仿宋_GB2312" w:cs="Times New Roman"/>
        </w:rPr>
        <w:fldChar w:fldCharType="end"/>
      </w:r>
    </w:p>
    <w:p>
      <w:pPr>
        <w:pStyle w:val="35"/>
        <w:spacing w:after="0" w:line="380" w:lineRule="exact"/>
        <w:rPr>
          <w:rFonts w:ascii="Times New Roman" w:hAnsi="Times New Roman" w:eastAsia="仿宋_GB2312" w:cs="Times New Roman"/>
          <w:kern w:val="2"/>
          <w:sz w:val="21"/>
        </w:rPr>
      </w:pPr>
      <w:r>
        <w:fldChar w:fldCharType="begin"/>
      </w:r>
      <w:r>
        <w:instrText xml:space="preserve"> HYPERLINK \l "_Toc127266662" </w:instrText>
      </w:r>
      <w:r>
        <w:fldChar w:fldCharType="separate"/>
      </w:r>
      <w:r>
        <w:rPr>
          <w:rStyle w:val="49"/>
          <w:rFonts w:ascii="Times New Roman" w:hAnsi="Times New Roman" w:eastAsia="仿宋_GB2312" w:cs="Times New Roman"/>
        </w:rPr>
        <w:t>8.2 现有生态环境应急资源</w:t>
      </w:r>
      <w:r>
        <w:rPr>
          <w:rFonts w:ascii="Times New Roman" w:hAnsi="Times New Roman" w:eastAsia="仿宋_GB2312" w:cs="Times New Roman"/>
        </w:rPr>
        <w:tab/>
      </w:r>
      <w:r>
        <w:rPr>
          <w:rFonts w:ascii="Times New Roman" w:hAnsi="Times New Roman" w:eastAsia="仿宋_GB2312" w:cs="Times New Roman"/>
        </w:rPr>
        <w:fldChar w:fldCharType="begin"/>
      </w:r>
      <w:r>
        <w:rPr>
          <w:rFonts w:ascii="Times New Roman" w:hAnsi="Times New Roman" w:eastAsia="仿宋_GB2312" w:cs="Times New Roman"/>
        </w:rPr>
        <w:instrText xml:space="preserve"> PAGEREF _Toc127266662 \h </w:instrText>
      </w:r>
      <w:r>
        <w:rPr>
          <w:rFonts w:ascii="Times New Roman" w:hAnsi="Times New Roman" w:eastAsia="仿宋_GB2312" w:cs="Times New Roman"/>
        </w:rPr>
        <w:fldChar w:fldCharType="separate"/>
      </w:r>
      <w:r>
        <w:rPr>
          <w:rFonts w:ascii="Times New Roman" w:hAnsi="Times New Roman" w:eastAsia="仿宋_GB2312" w:cs="Times New Roman"/>
        </w:rPr>
        <w:t>28</w:t>
      </w:r>
      <w:r>
        <w:rPr>
          <w:rFonts w:ascii="Times New Roman" w:hAnsi="Times New Roman" w:eastAsia="仿宋_GB2312" w:cs="Times New Roman"/>
        </w:rPr>
        <w:fldChar w:fldCharType="end"/>
      </w:r>
      <w:r>
        <w:rPr>
          <w:rFonts w:ascii="Times New Roman" w:hAnsi="Times New Roman" w:eastAsia="仿宋_GB2312" w:cs="Times New Roman"/>
        </w:rPr>
        <w:fldChar w:fldCharType="end"/>
      </w:r>
    </w:p>
    <w:p>
      <w:pPr>
        <w:pStyle w:val="35"/>
        <w:spacing w:after="0" w:line="380" w:lineRule="exact"/>
        <w:rPr>
          <w:rFonts w:ascii="Times New Roman" w:hAnsi="Times New Roman" w:eastAsia="仿宋_GB2312" w:cs="Times New Roman"/>
          <w:kern w:val="2"/>
          <w:sz w:val="21"/>
        </w:rPr>
      </w:pPr>
      <w:r>
        <w:fldChar w:fldCharType="begin"/>
      </w:r>
      <w:r>
        <w:instrText xml:space="preserve"> HYPERLINK \l "_Toc127266663" </w:instrText>
      </w:r>
      <w:r>
        <w:fldChar w:fldCharType="separate"/>
      </w:r>
      <w:r>
        <w:rPr>
          <w:rStyle w:val="49"/>
          <w:rFonts w:ascii="Times New Roman" w:hAnsi="Times New Roman" w:eastAsia="仿宋_GB2312" w:cs="Times New Roman"/>
        </w:rPr>
        <w:t>8.3 突发环境事件发生及处置情况</w:t>
      </w:r>
      <w:r>
        <w:rPr>
          <w:rFonts w:ascii="Times New Roman" w:hAnsi="Times New Roman" w:eastAsia="仿宋_GB2312" w:cs="Times New Roman"/>
        </w:rPr>
        <w:tab/>
      </w:r>
      <w:r>
        <w:rPr>
          <w:rFonts w:ascii="Times New Roman" w:hAnsi="Times New Roman" w:eastAsia="仿宋_GB2312" w:cs="Times New Roman"/>
        </w:rPr>
        <w:fldChar w:fldCharType="begin"/>
      </w:r>
      <w:r>
        <w:rPr>
          <w:rFonts w:ascii="Times New Roman" w:hAnsi="Times New Roman" w:eastAsia="仿宋_GB2312" w:cs="Times New Roman"/>
        </w:rPr>
        <w:instrText xml:space="preserve"> PAGEREF _Toc127266663 \h </w:instrText>
      </w:r>
      <w:r>
        <w:rPr>
          <w:rFonts w:ascii="Times New Roman" w:hAnsi="Times New Roman" w:eastAsia="仿宋_GB2312" w:cs="Times New Roman"/>
        </w:rPr>
        <w:fldChar w:fldCharType="separate"/>
      </w:r>
      <w:r>
        <w:rPr>
          <w:rFonts w:ascii="Times New Roman" w:hAnsi="Times New Roman" w:eastAsia="仿宋_GB2312" w:cs="Times New Roman"/>
        </w:rPr>
        <w:t>29</w:t>
      </w:r>
      <w:r>
        <w:rPr>
          <w:rFonts w:ascii="Times New Roman" w:hAnsi="Times New Roman" w:eastAsia="仿宋_GB2312" w:cs="Times New Roman"/>
        </w:rPr>
        <w:fldChar w:fldCharType="end"/>
      </w:r>
      <w:r>
        <w:rPr>
          <w:rFonts w:ascii="Times New Roman" w:hAnsi="Times New Roman" w:eastAsia="仿宋_GB2312" w:cs="Times New Roman"/>
        </w:rPr>
        <w:fldChar w:fldCharType="end"/>
      </w:r>
    </w:p>
    <w:p>
      <w:pPr>
        <w:pStyle w:val="35"/>
        <w:spacing w:after="0" w:line="380" w:lineRule="exact"/>
        <w:rPr>
          <w:rFonts w:ascii="Times New Roman" w:hAnsi="Times New Roman" w:eastAsia="仿宋_GB2312" w:cs="Times New Roman"/>
          <w:kern w:val="2"/>
          <w:sz w:val="21"/>
        </w:rPr>
      </w:pPr>
      <w:r>
        <w:fldChar w:fldCharType="begin"/>
      </w:r>
      <w:r>
        <w:instrText xml:space="preserve"> HYPERLINK \l "_Toc127266664" </w:instrText>
      </w:r>
      <w:r>
        <w:fldChar w:fldCharType="separate"/>
      </w:r>
      <w:r>
        <w:rPr>
          <w:rStyle w:val="49"/>
          <w:rFonts w:ascii="Times New Roman" w:hAnsi="Times New Roman" w:eastAsia="仿宋_GB2312" w:cs="Times New Roman"/>
        </w:rPr>
        <w:t>8.4 重污染天气应急响应情况</w:t>
      </w:r>
      <w:r>
        <w:rPr>
          <w:rFonts w:ascii="Times New Roman" w:hAnsi="Times New Roman" w:eastAsia="仿宋_GB2312" w:cs="Times New Roman"/>
        </w:rPr>
        <w:tab/>
      </w:r>
      <w:r>
        <w:rPr>
          <w:rFonts w:ascii="Times New Roman" w:hAnsi="Times New Roman" w:eastAsia="仿宋_GB2312" w:cs="Times New Roman"/>
        </w:rPr>
        <w:fldChar w:fldCharType="begin"/>
      </w:r>
      <w:r>
        <w:rPr>
          <w:rFonts w:ascii="Times New Roman" w:hAnsi="Times New Roman" w:eastAsia="仿宋_GB2312" w:cs="Times New Roman"/>
        </w:rPr>
        <w:instrText xml:space="preserve"> PAGEREF _Toc127266664 \h </w:instrText>
      </w:r>
      <w:r>
        <w:rPr>
          <w:rFonts w:ascii="Times New Roman" w:hAnsi="Times New Roman" w:eastAsia="仿宋_GB2312" w:cs="Times New Roman"/>
        </w:rPr>
        <w:fldChar w:fldCharType="separate"/>
      </w:r>
      <w:r>
        <w:rPr>
          <w:rFonts w:ascii="Times New Roman" w:hAnsi="Times New Roman" w:eastAsia="仿宋_GB2312" w:cs="Times New Roman"/>
        </w:rPr>
        <w:t>29</w:t>
      </w:r>
      <w:r>
        <w:rPr>
          <w:rFonts w:ascii="Times New Roman" w:hAnsi="Times New Roman" w:eastAsia="仿宋_GB2312" w:cs="Times New Roman"/>
        </w:rPr>
        <w:fldChar w:fldCharType="end"/>
      </w:r>
      <w:r>
        <w:rPr>
          <w:rFonts w:ascii="Times New Roman" w:hAnsi="Times New Roman" w:eastAsia="仿宋_GB2312" w:cs="Times New Roman"/>
        </w:rPr>
        <w:fldChar w:fldCharType="end"/>
      </w:r>
    </w:p>
    <w:p>
      <w:pPr>
        <w:pStyle w:val="29"/>
        <w:spacing w:line="380" w:lineRule="exact"/>
        <w:rPr>
          <w:rFonts w:cs="Times New Roman"/>
          <w:b w:val="0"/>
          <w:kern w:val="2"/>
          <w:sz w:val="21"/>
        </w:rPr>
      </w:pPr>
      <w:r>
        <w:fldChar w:fldCharType="begin"/>
      </w:r>
      <w:r>
        <w:instrText xml:space="preserve"> HYPERLINK \l "_Toc127266665" </w:instrText>
      </w:r>
      <w:r>
        <w:fldChar w:fldCharType="separate"/>
      </w:r>
      <w:r>
        <w:rPr>
          <w:rStyle w:val="49"/>
          <w:rFonts w:cs="Times New Roman"/>
          <w:b w:val="0"/>
        </w:rPr>
        <w:t>9 生态环境违法信息</w:t>
      </w:r>
      <w:r>
        <w:rPr>
          <w:rFonts w:cs="Times New Roman"/>
          <w:b w:val="0"/>
        </w:rPr>
        <w:tab/>
      </w:r>
      <w:r>
        <w:rPr>
          <w:rFonts w:cs="Times New Roman"/>
          <w:b w:val="0"/>
        </w:rPr>
        <w:fldChar w:fldCharType="begin"/>
      </w:r>
      <w:r>
        <w:rPr>
          <w:rFonts w:cs="Times New Roman"/>
          <w:b w:val="0"/>
        </w:rPr>
        <w:instrText xml:space="preserve"> PAGEREF _Toc127266665 \h </w:instrText>
      </w:r>
      <w:r>
        <w:rPr>
          <w:rFonts w:cs="Times New Roman"/>
          <w:b w:val="0"/>
        </w:rPr>
        <w:fldChar w:fldCharType="separate"/>
      </w:r>
      <w:r>
        <w:rPr>
          <w:rFonts w:cs="Times New Roman"/>
          <w:b w:val="0"/>
        </w:rPr>
        <w:t>30</w:t>
      </w:r>
      <w:r>
        <w:rPr>
          <w:rFonts w:cs="Times New Roman"/>
          <w:b w:val="0"/>
        </w:rPr>
        <w:fldChar w:fldCharType="end"/>
      </w:r>
      <w:r>
        <w:rPr>
          <w:rFonts w:cs="Times New Roman"/>
          <w:b w:val="0"/>
        </w:rPr>
        <w:fldChar w:fldCharType="end"/>
      </w:r>
    </w:p>
    <w:p>
      <w:pPr>
        <w:pStyle w:val="35"/>
        <w:spacing w:after="0" w:line="380" w:lineRule="exact"/>
        <w:rPr>
          <w:rFonts w:ascii="Times New Roman" w:hAnsi="Times New Roman" w:eastAsia="仿宋_GB2312" w:cs="Times New Roman"/>
          <w:kern w:val="2"/>
          <w:sz w:val="21"/>
        </w:rPr>
      </w:pPr>
      <w:r>
        <w:fldChar w:fldCharType="begin"/>
      </w:r>
      <w:r>
        <w:instrText xml:space="preserve"> HYPERLINK \l "_Toc127266666" </w:instrText>
      </w:r>
      <w:r>
        <w:fldChar w:fldCharType="separate"/>
      </w:r>
      <w:r>
        <w:rPr>
          <w:rStyle w:val="49"/>
          <w:rFonts w:ascii="Times New Roman" w:hAnsi="Times New Roman" w:eastAsia="仿宋_GB2312" w:cs="Times New Roman"/>
        </w:rPr>
        <w:t>9.1 生态环境行政处罚信息</w:t>
      </w:r>
      <w:r>
        <w:rPr>
          <w:rFonts w:ascii="Times New Roman" w:hAnsi="Times New Roman" w:eastAsia="仿宋_GB2312" w:cs="Times New Roman"/>
        </w:rPr>
        <w:tab/>
      </w:r>
      <w:r>
        <w:rPr>
          <w:rFonts w:ascii="Times New Roman" w:hAnsi="Times New Roman" w:eastAsia="仿宋_GB2312" w:cs="Times New Roman"/>
        </w:rPr>
        <w:fldChar w:fldCharType="begin"/>
      </w:r>
      <w:r>
        <w:rPr>
          <w:rFonts w:ascii="Times New Roman" w:hAnsi="Times New Roman" w:eastAsia="仿宋_GB2312" w:cs="Times New Roman"/>
        </w:rPr>
        <w:instrText xml:space="preserve"> PAGEREF _Toc127266666 \h </w:instrText>
      </w:r>
      <w:r>
        <w:rPr>
          <w:rFonts w:ascii="Times New Roman" w:hAnsi="Times New Roman" w:eastAsia="仿宋_GB2312" w:cs="Times New Roman"/>
        </w:rPr>
        <w:fldChar w:fldCharType="separate"/>
      </w:r>
      <w:r>
        <w:rPr>
          <w:rFonts w:ascii="Times New Roman" w:hAnsi="Times New Roman" w:eastAsia="仿宋_GB2312" w:cs="Times New Roman"/>
        </w:rPr>
        <w:t>30</w:t>
      </w:r>
      <w:r>
        <w:rPr>
          <w:rFonts w:ascii="Times New Roman" w:hAnsi="Times New Roman" w:eastAsia="仿宋_GB2312" w:cs="Times New Roman"/>
        </w:rPr>
        <w:fldChar w:fldCharType="end"/>
      </w:r>
      <w:r>
        <w:rPr>
          <w:rFonts w:ascii="Times New Roman" w:hAnsi="Times New Roman" w:eastAsia="仿宋_GB2312" w:cs="Times New Roman"/>
        </w:rPr>
        <w:fldChar w:fldCharType="end"/>
      </w:r>
    </w:p>
    <w:p>
      <w:pPr>
        <w:pStyle w:val="35"/>
        <w:spacing w:after="0" w:line="380" w:lineRule="exact"/>
        <w:rPr>
          <w:rFonts w:ascii="Times New Roman" w:hAnsi="Times New Roman" w:eastAsia="仿宋_GB2312" w:cs="Times New Roman"/>
          <w:kern w:val="2"/>
          <w:sz w:val="21"/>
        </w:rPr>
      </w:pPr>
      <w:r>
        <w:fldChar w:fldCharType="begin"/>
      </w:r>
      <w:r>
        <w:instrText xml:space="preserve"> HYPERLINK \l "_Toc127266667" </w:instrText>
      </w:r>
      <w:r>
        <w:fldChar w:fldCharType="separate"/>
      </w:r>
      <w:r>
        <w:rPr>
          <w:rStyle w:val="49"/>
          <w:rFonts w:ascii="Times New Roman" w:hAnsi="Times New Roman" w:eastAsia="仿宋_GB2312" w:cs="Times New Roman"/>
        </w:rPr>
        <w:t>9.2 生态环境司法判决信息</w:t>
      </w:r>
      <w:r>
        <w:rPr>
          <w:rFonts w:ascii="Times New Roman" w:hAnsi="Times New Roman" w:eastAsia="仿宋_GB2312" w:cs="Times New Roman"/>
        </w:rPr>
        <w:tab/>
      </w:r>
      <w:r>
        <w:rPr>
          <w:rFonts w:ascii="Times New Roman" w:hAnsi="Times New Roman" w:eastAsia="仿宋_GB2312" w:cs="Times New Roman"/>
        </w:rPr>
        <w:fldChar w:fldCharType="begin"/>
      </w:r>
      <w:r>
        <w:rPr>
          <w:rFonts w:ascii="Times New Roman" w:hAnsi="Times New Roman" w:eastAsia="仿宋_GB2312" w:cs="Times New Roman"/>
        </w:rPr>
        <w:instrText xml:space="preserve"> PAGEREF _Toc127266667 \h </w:instrText>
      </w:r>
      <w:r>
        <w:rPr>
          <w:rFonts w:ascii="Times New Roman" w:hAnsi="Times New Roman" w:eastAsia="仿宋_GB2312" w:cs="Times New Roman"/>
        </w:rPr>
        <w:fldChar w:fldCharType="separate"/>
      </w:r>
      <w:r>
        <w:rPr>
          <w:rFonts w:ascii="Times New Roman" w:hAnsi="Times New Roman" w:eastAsia="仿宋_GB2312" w:cs="Times New Roman"/>
        </w:rPr>
        <w:t>30</w:t>
      </w:r>
      <w:r>
        <w:rPr>
          <w:rFonts w:ascii="Times New Roman" w:hAnsi="Times New Roman" w:eastAsia="仿宋_GB2312" w:cs="Times New Roman"/>
        </w:rPr>
        <w:fldChar w:fldCharType="end"/>
      </w:r>
      <w:r>
        <w:rPr>
          <w:rFonts w:ascii="Times New Roman" w:hAnsi="Times New Roman" w:eastAsia="仿宋_GB2312" w:cs="Times New Roman"/>
        </w:rPr>
        <w:fldChar w:fldCharType="end"/>
      </w:r>
    </w:p>
    <w:p>
      <w:pPr>
        <w:pStyle w:val="29"/>
        <w:spacing w:line="380" w:lineRule="exact"/>
        <w:rPr>
          <w:rFonts w:cs="Times New Roman"/>
          <w:b w:val="0"/>
          <w:kern w:val="2"/>
          <w:sz w:val="21"/>
        </w:rPr>
      </w:pPr>
      <w:r>
        <w:fldChar w:fldCharType="begin"/>
      </w:r>
      <w:r>
        <w:instrText xml:space="preserve"> HYPERLINK \l "_Toc127266668" </w:instrText>
      </w:r>
      <w:r>
        <w:fldChar w:fldCharType="separate"/>
      </w:r>
      <w:r>
        <w:rPr>
          <w:rStyle w:val="49"/>
          <w:rFonts w:cs="Times New Roman"/>
          <w:b w:val="0"/>
        </w:rPr>
        <w:t>10 本年度临时报告情况</w:t>
      </w:r>
      <w:r>
        <w:rPr>
          <w:rFonts w:cs="Times New Roman"/>
          <w:b w:val="0"/>
        </w:rPr>
        <w:tab/>
      </w:r>
      <w:r>
        <w:rPr>
          <w:rFonts w:cs="Times New Roman"/>
          <w:b w:val="0"/>
        </w:rPr>
        <w:fldChar w:fldCharType="begin"/>
      </w:r>
      <w:r>
        <w:rPr>
          <w:rFonts w:cs="Times New Roman"/>
          <w:b w:val="0"/>
        </w:rPr>
        <w:instrText xml:space="preserve"> PAGEREF _Toc127266668 \h </w:instrText>
      </w:r>
      <w:r>
        <w:rPr>
          <w:rFonts w:cs="Times New Roman"/>
          <w:b w:val="0"/>
        </w:rPr>
        <w:fldChar w:fldCharType="separate"/>
      </w:r>
      <w:r>
        <w:rPr>
          <w:rFonts w:cs="Times New Roman"/>
          <w:b w:val="0"/>
        </w:rPr>
        <w:t>31</w:t>
      </w:r>
      <w:r>
        <w:rPr>
          <w:rFonts w:cs="Times New Roman"/>
          <w:b w:val="0"/>
        </w:rPr>
        <w:fldChar w:fldCharType="end"/>
      </w:r>
      <w:r>
        <w:rPr>
          <w:rFonts w:cs="Times New Roman"/>
          <w:b w:val="0"/>
        </w:rPr>
        <w:fldChar w:fldCharType="end"/>
      </w:r>
    </w:p>
    <w:p>
      <w:pPr>
        <w:pStyle w:val="29"/>
        <w:spacing w:line="380" w:lineRule="exact"/>
        <w:rPr>
          <w:rFonts w:cs="Times New Roman"/>
          <w:b w:val="0"/>
          <w:kern w:val="2"/>
          <w:sz w:val="21"/>
        </w:rPr>
      </w:pPr>
      <w:r>
        <w:fldChar w:fldCharType="begin"/>
      </w:r>
      <w:r>
        <w:instrText xml:space="preserve"> HYPERLINK \l "_Toc127266669" </w:instrText>
      </w:r>
      <w:r>
        <w:fldChar w:fldCharType="separate"/>
      </w:r>
      <w:r>
        <w:rPr>
          <w:rStyle w:val="49"/>
          <w:rFonts w:cs="Times New Roman"/>
          <w:b w:val="0"/>
        </w:rPr>
        <w:t>11 附件</w:t>
      </w:r>
      <w:r>
        <w:rPr>
          <w:rFonts w:cs="Times New Roman"/>
          <w:b w:val="0"/>
        </w:rPr>
        <w:tab/>
      </w:r>
      <w:r>
        <w:rPr>
          <w:rFonts w:cs="Times New Roman"/>
          <w:b w:val="0"/>
        </w:rPr>
        <w:fldChar w:fldCharType="begin"/>
      </w:r>
      <w:r>
        <w:rPr>
          <w:rFonts w:cs="Times New Roman"/>
          <w:b w:val="0"/>
        </w:rPr>
        <w:instrText xml:space="preserve"> PAGEREF _Toc127266669 \h </w:instrText>
      </w:r>
      <w:r>
        <w:rPr>
          <w:rFonts w:cs="Times New Roman"/>
          <w:b w:val="0"/>
        </w:rPr>
        <w:fldChar w:fldCharType="separate"/>
      </w:r>
      <w:r>
        <w:rPr>
          <w:rFonts w:cs="Times New Roman"/>
          <w:b w:val="0"/>
        </w:rPr>
        <w:t>32</w:t>
      </w:r>
      <w:r>
        <w:rPr>
          <w:rFonts w:cs="Times New Roman"/>
          <w:b w:val="0"/>
        </w:rPr>
        <w:fldChar w:fldCharType="end"/>
      </w:r>
      <w:r>
        <w:rPr>
          <w:rFonts w:cs="Times New Roman"/>
          <w:b w:val="0"/>
        </w:rPr>
        <w:fldChar w:fldCharType="end"/>
      </w:r>
    </w:p>
    <w:p>
      <w:pPr>
        <w:spacing w:line="240" w:lineRule="auto"/>
        <w:ind w:firstLine="198" w:firstLineChars="82"/>
        <w:rPr>
          <w:rFonts w:cs="Times New Roman"/>
          <w:b/>
          <w:szCs w:val="24"/>
        </w:rPr>
      </w:pPr>
      <w:r>
        <w:rPr>
          <w:rFonts w:cs="Times New Roman"/>
          <w:b/>
          <w:szCs w:val="24"/>
        </w:rPr>
        <w:fldChar w:fldCharType="end"/>
      </w:r>
    </w:p>
    <w:p>
      <w:pPr>
        <w:ind w:firstLine="480"/>
        <w:sectPr>
          <w:headerReference r:id="rId11" w:type="default"/>
          <w:footerReference r:id="rId12" w:type="default"/>
          <w:pgSz w:w="11906" w:h="16838"/>
          <w:pgMar w:top="1440" w:right="1800" w:bottom="1440" w:left="1800" w:header="851" w:footer="992" w:gutter="0"/>
          <w:pgNumType w:fmt="upperRoman" w:start="1"/>
          <w:cols w:space="425" w:num="1"/>
          <w:docGrid w:type="lines" w:linePitch="312" w:charSpace="0"/>
        </w:sectPr>
      </w:pPr>
    </w:p>
    <w:p>
      <w:pPr>
        <w:pStyle w:val="2"/>
        <w:spacing w:after="0"/>
        <w:rPr>
          <w:rFonts w:cs="Times New Roman"/>
          <w:sz w:val="30"/>
          <w:szCs w:val="30"/>
        </w:rPr>
      </w:pPr>
      <w:bookmarkStart w:id="29" w:name="_Toc94185458"/>
      <w:bookmarkStart w:id="30" w:name="_Toc97540944"/>
      <w:bookmarkStart w:id="31" w:name="_Toc127266636"/>
      <w:r>
        <w:rPr>
          <w:rFonts w:cs="Times New Roman"/>
          <w:sz w:val="30"/>
          <w:szCs w:val="30"/>
        </w:rPr>
        <w:t>1名词解释</w:t>
      </w:r>
      <w:bookmarkEnd w:id="29"/>
      <w:bookmarkEnd w:id="30"/>
      <w:bookmarkEnd w:id="31"/>
    </w:p>
    <w:p>
      <w:pPr>
        <w:ind w:firstLine="480"/>
        <w:rPr>
          <w:rFonts w:cs="Times New Roman"/>
        </w:rPr>
      </w:pPr>
      <w:r>
        <w:rPr>
          <w:rFonts w:cs="Times New Roman"/>
        </w:rPr>
        <w:t>（1）重点排污单位</w:t>
      </w:r>
    </w:p>
    <w:p>
      <w:pPr>
        <w:ind w:firstLine="480"/>
        <w:rPr>
          <w:rFonts w:cs="Times New Roman"/>
        </w:rPr>
      </w:pPr>
      <w:r>
        <w:rPr>
          <w:rFonts w:cs="Times New Roman"/>
        </w:rPr>
        <w:t>指设区的市级地方人民政府环境保护主管部门依据本行政区域的环境承载力、环境质量改善要求和《重点排污单位名录管理规定（试行）》的筛选条件，每年商有关部门筛选出的污染物排放量较大、排放有毒有害污染物等具有较大环境风险的企业事业单位。</w:t>
      </w:r>
    </w:p>
    <w:p>
      <w:pPr>
        <w:ind w:firstLine="480"/>
        <w:rPr>
          <w:rFonts w:cs="Times New Roman"/>
        </w:rPr>
      </w:pPr>
      <w:r>
        <w:rPr>
          <w:rFonts w:cs="Times New Roman"/>
        </w:rPr>
        <w:t>市级地方人民政府环境保护主管部门定期公布下一年度本行政区域重点排污单位名录。按照受污染的环境要素分为水环境重点排污单位名录、大气环境重点排污单位名录、土壤环境污染重点监管单位名录、声环境重点排污单位名录，以及其他重点排污单位名录五类，同一家企业事业单位因排污种类不同可以同时属于不同类别重点排污单位。</w:t>
      </w:r>
    </w:p>
    <w:p>
      <w:pPr>
        <w:ind w:firstLine="480"/>
        <w:rPr>
          <w:rFonts w:cs="Times New Roman"/>
        </w:rPr>
      </w:pPr>
      <w:r>
        <w:rPr>
          <w:rFonts w:cs="Times New Roman"/>
        </w:rPr>
        <w:t>（2）</w:t>
      </w:r>
      <w:r>
        <w:fldChar w:fldCharType="begin"/>
      </w:r>
      <w:r>
        <w:instrText xml:space="preserve"> HYPERLINK "http://www.baidu.com/link?url=3Poe31ovDINTbI0obMN2-dgLxNY1wGUIZSA-NerUDBYNyI2AzeChq5xyq_t_Sw5QPmcew5dm_zIEGMFYARp3tq" \t "_blank" </w:instrText>
      </w:r>
      <w:r>
        <w:fldChar w:fldCharType="separate"/>
      </w:r>
      <w:r>
        <w:rPr>
          <w:rFonts w:cs="Times New Roman"/>
        </w:rPr>
        <w:t>强制性清洁生产审核</w:t>
      </w:r>
      <w:r>
        <w:rPr>
          <w:rFonts w:cs="Times New Roman"/>
        </w:rPr>
        <w:fldChar w:fldCharType="end"/>
      </w:r>
      <w:r>
        <w:rPr>
          <w:rFonts w:cs="Times New Roman"/>
        </w:rPr>
        <w:t>企业</w:t>
      </w:r>
    </w:p>
    <w:p>
      <w:pPr>
        <w:ind w:firstLine="480"/>
        <w:rPr>
          <w:rFonts w:cs="Times New Roman"/>
        </w:rPr>
      </w:pPr>
      <w:r>
        <w:rPr>
          <w:rFonts w:cs="Times New Roman"/>
        </w:rPr>
        <w:t>指按照相关法律法规，由省级环境保护行政主管部门发布的应当实施强制性清洁生产审核。主要包括污染物排放超过国家和地方排放标准，或者污染物排放总量超过地方人民政府核定的排放总量控制指标的污染严重企业；使用有毒有害原料进行生产或者在生产中排放</w:t>
      </w:r>
      <w:r>
        <w:fldChar w:fldCharType="begin"/>
      </w:r>
      <w:r>
        <w:instrText xml:space="preserve"> HYPERLINK "https://baike.so.com/doc/5970900-6183857.html" \t "_blank" </w:instrText>
      </w:r>
      <w:r>
        <w:fldChar w:fldCharType="separate"/>
      </w:r>
      <w:r>
        <w:rPr>
          <w:rFonts w:cs="Times New Roman"/>
        </w:rPr>
        <w:t>有毒有害物质</w:t>
      </w:r>
      <w:r>
        <w:rPr>
          <w:rFonts w:cs="Times New Roman"/>
        </w:rPr>
        <w:fldChar w:fldCharType="end"/>
      </w:r>
      <w:r>
        <w:rPr>
          <w:rFonts w:cs="Times New Roman"/>
        </w:rPr>
        <w:t>的企业。</w:t>
      </w:r>
    </w:p>
    <w:p>
      <w:pPr>
        <w:ind w:firstLine="480"/>
        <w:rPr>
          <w:rFonts w:cs="Times New Roman"/>
        </w:rPr>
      </w:pPr>
      <w:r>
        <w:rPr>
          <w:rFonts w:cs="Times New Roman"/>
        </w:rPr>
        <w:t>（3）生产设施</w:t>
      </w:r>
    </w:p>
    <w:p>
      <w:pPr>
        <w:ind w:firstLine="480"/>
        <w:rPr>
          <w:rFonts w:cs="Times New Roman"/>
        </w:rPr>
      </w:pPr>
      <w:r>
        <w:rPr>
          <w:rFonts w:cs="Times New Roman"/>
        </w:rPr>
        <w:t>指在排污单位中与产排污有关的，直接参加生产过程或直接为生产服务的设备或设施。</w:t>
      </w:r>
    </w:p>
    <w:p>
      <w:pPr>
        <w:ind w:firstLine="480"/>
        <w:rPr>
          <w:rFonts w:cs="Times New Roman"/>
        </w:rPr>
      </w:pPr>
      <w:r>
        <w:rPr>
          <w:rFonts w:cs="Times New Roman"/>
        </w:rPr>
        <w:t>（4）污染治理设施</w:t>
      </w:r>
    </w:p>
    <w:p>
      <w:pPr>
        <w:ind w:firstLine="480"/>
        <w:rPr>
          <w:rFonts w:cs="Times New Roman"/>
        </w:rPr>
      </w:pPr>
      <w:r>
        <w:rPr>
          <w:rFonts w:cs="Times New Roman"/>
        </w:rPr>
        <w:t>指对生产过程中产生的污染物进行收集、净化、去除的设备或设施</w:t>
      </w:r>
      <w:r>
        <w:rPr>
          <w:rFonts w:hint="eastAsia" w:cs="Times New Roman"/>
        </w:rPr>
        <w:t>。</w:t>
      </w:r>
    </w:p>
    <w:p>
      <w:pPr>
        <w:ind w:firstLine="480"/>
        <w:rPr>
          <w:rFonts w:cs="Times New Roman"/>
        </w:rPr>
      </w:pPr>
      <w:r>
        <w:rPr>
          <w:rFonts w:cs="Times New Roman"/>
        </w:rPr>
        <w:t>（5）许可排放限值</w:t>
      </w:r>
    </w:p>
    <w:p>
      <w:pPr>
        <w:ind w:firstLine="480"/>
        <w:rPr>
          <w:rFonts w:cs="Times New Roman"/>
        </w:rPr>
      </w:pPr>
      <w:r>
        <w:rPr>
          <w:rFonts w:cs="Times New Roman"/>
        </w:rPr>
        <w:t>指排污许可证中规定的允许排污单位排放的污染物最大排放浓度和排放量。</w:t>
      </w:r>
    </w:p>
    <w:p>
      <w:pPr>
        <w:ind w:firstLine="480"/>
        <w:rPr>
          <w:rFonts w:cs="Times New Roman"/>
        </w:rPr>
      </w:pPr>
      <w:r>
        <w:rPr>
          <w:rFonts w:cs="Times New Roman"/>
        </w:rPr>
        <w:t>（6）工业固体废物</w:t>
      </w:r>
    </w:p>
    <w:p>
      <w:pPr>
        <w:ind w:firstLine="480"/>
        <w:rPr>
          <w:rFonts w:cs="Times New Roman"/>
        </w:rPr>
      </w:pPr>
      <w:r>
        <w:rPr>
          <w:rFonts w:cs="Times New Roman"/>
        </w:rPr>
        <w:t>在工业生产活动中产生的固体废物。不包括生活垃圾、建筑垃圾、农业固体废物、放射性废物、医疗废物。</w:t>
      </w:r>
    </w:p>
    <w:p>
      <w:pPr>
        <w:ind w:firstLine="480"/>
        <w:rPr>
          <w:rFonts w:cs="Times New Roman"/>
        </w:rPr>
      </w:pPr>
      <w:r>
        <w:rPr>
          <w:rFonts w:cs="Times New Roman"/>
        </w:rPr>
        <w:t>（7）危险废物</w:t>
      </w:r>
    </w:p>
    <w:p>
      <w:pPr>
        <w:ind w:firstLine="480"/>
        <w:rPr>
          <w:rFonts w:cs="Times New Roman"/>
        </w:rPr>
      </w:pPr>
      <w:r>
        <w:rPr>
          <w:rFonts w:cs="Times New Roman"/>
        </w:rPr>
        <w:t>列入国家危险废物名录或者根据国家规定的危险废物鉴别标准和鉴别方法认定的具有危险特性的固体废物。</w:t>
      </w:r>
    </w:p>
    <w:p>
      <w:pPr>
        <w:ind w:firstLine="480"/>
        <w:rPr>
          <w:rFonts w:cs="Times New Roman"/>
        </w:rPr>
      </w:pPr>
      <w:r>
        <w:rPr>
          <w:rFonts w:cs="Times New Roman"/>
        </w:rPr>
        <w:t>（8）一般工业固体废物</w:t>
      </w:r>
    </w:p>
    <w:p>
      <w:pPr>
        <w:ind w:firstLine="480"/>
        <w:rPr>
          <w:rFonts w:cs="Times New Roman"/>
        </w:rPr>
      </w:pPr>
      <w:r>
        <w:rPr>
          <w:rFonts w:cs="Times New Roman"/>
        </w:rPr>
        <w:t>企业在工业生产过程中产生且不属于危险废物的工业固体废物。</w:t>
      </w:r>
    </w:p>
    <w:p>
      <w:pPr>
        <w:ind w:firstLine="480"/>
        <w:rPr>
          <w:rFonts w:cs="Times New Roman"/>
        </w:rPr>
      </w:pPr>
      <w:r>
        <w:rPr>
          <w:rFonts w:cs="Times New Roman"/>
        </w:rPr>
        <w:t>（9）自行贮存设施</w:t>
      </w:r>
    </w:p>
    <w:p>
      <w:pPr>
        <w:ind w:firstLine="480"/>
        <w:rPr>
          <w:rFonts w:cs="Times New Roman"/>
        </w:rPr>
      </w:pPr>
      <w:r>
        <w:rPr>
          <w:rFonts w:cs="Times New Roman"/>
        </w:rPr>
        <w:t>排污单位贮存工业固体废物的设施。</w:t>
      </w:r>
    </w:p>
    <w:p>
      <w:pPr>
        <w:ind w:firstLine="480"/>
        <w:rPr>
          <w:rFonts w:cs="Times New Roman"/>
        </w:rPr>
      </w:pPr>
      <w:r>
        <w:rPr>
          <w:rFonts w:cs="Times New Roman"/>
        </w:rPr>
        <w:t>（10）自行利用/处置设施</w:t>
      </w:r>
    </w:p>
    <w:p>
      <w:pPr>
        <w:ind w:firstLine="480"/>
        <w:rPr>
          <w:rFonts w:cs="Times New Roman"/>
        </w:rPr>
      </w:pPr>
      <w:r>
        <w:rPr>
          <w:rFonts w:cs="Times New Roman"/>
        </w:rPr>
        <w:t>排污单位利用/处置工业固体废物的设施。</w:t>
      </w:r>
    </w:p>
    <w:p>
      <w:pPr>
        <w:ind w:firstLine="480"/>
        <w:rPr>
          <w:rFonts w:cs="Times New Roman"/>
        </w:rPr>
      </w:pPr>
      <w:r>
        <w:rPr>
          <w:rFonts w:hint="eastAsia" w:cs="Times New Roman"/>
        </w:rPr>
        <w:t>（11）废气排放口</w:t>
      </w:r>
    </w:p>
    <w:p>
      <w:pPr>
        <w:ind w:firstLine="480"/>
        <w:rPr>
          <w:rFonts w:cs="Times New Roman"/>
        </w:rPr>
      </w:pPr>
      <w:r>
        <w:rPr>
          <w:rFonts w:hint="eastAsia" w:cs="Times New Roman"/>
        </w:rPr>
        <w:t>废气排放口分为主要排放口、一般排放口和其他排放口。原则上将主体工程中的工业炉窑、化工类排污单位的主要反应设备、公用工程中出力10t/h及以上的燃料锅炉、燃气轮机组以及与出力10t/h及以上的燃料锅炉和燃气轮机组排放污染物相当的污染源，其对应的排放口为主要排放口；主体工程、辅助工程、储运工程中污染物排放量相对较小的污染源，其对应的排放口为一般排放口；公用工程中的火炬、放空管等污染物排放标准中未明确污染物排放浓度限值要求的排放口为其他排放口。</w:t>
      </w:r>
    </w:p>
    <w:p>
      <w:pPr>
        <w:ind w:firstLine="480"/>
        <w:rPr>
          <w:rFonts w:cs="Times New Roman"/>
        </w:rPr>
      </w:pPr>
      <w:r>
        <w:rPr>
          <w:rFonts w:hint="eastAsia" w:cs="Times New Roman"/>
        </w:rPr>
        <w:t>（12）废水排放口</w:t>
      </w:r>
    </w:p>
    <w:p>
      <w:pPr>
        <w:ind w:firstLine="480"/>
        <w:rPr>
          <w:rFonts w:cs="Times New Roman"/>
        </w:rPr>
      </w:pPr>
      <w:r>
        <w:rPr>
          <w:rFonts w:hint="eastAsia" w:cs="Times New Roman"/>
        </w:rPr>
        <w:t>根据排污单位废水排放特点，废水排放口包括车间或生产设施排放口、废水总排放口。原则上涉及排放第一类污染物的车间或生产设施排放口以及纳入水环境重点排污单位名录中的排污单位废水总排放口为主要排放口，其他为一般排放口。</w:t>
      </w:r>
    </w:p>
    <w:p>
      <w:pPr>
        <w:ind w:firstLine="480"/>
        <w:rPr>
          <w:rFonts w:cs="Times New Roman"/>
        </w:rPr>
      </w:pPr>
      <w:r>
        <w:rPr>
          <w:rFonts w:cs="Times New Roman"/>
        </w:rPr>
        <w:t>（1</w:t>
      </w:r>
      <w:r>
        <w:rPr>
          <w:rFonts w:hint="eastAsia" w:cs="Times New Roman"/>
        </w:rPr>
        <w:t>3</w:t>
      </w:r>
      <w:r>
        <w:rPr>
          <w:rFonts w:cs="Times New Roman"/>
        </w:rPr>
        <w:t>）特殊时段</w:t>
      </w:r>
    </w:p>
    <w:p>
      <w:pPr>
        <w:ind w:firstLine="480"/>
        <w:rPr>
          <w:rFonts w:cs="Times New Roman"/>
        </w:rPr>
      </w:pPr>
      <w:r>
        <w:rPr>
          <w:rFonts w:cs="Times New Roman"/>
        </w:rPr>
        <w:t>指根据地方人民政府依法制定的环境质量限期达标规划或其他相关环境管理文件，对排污单位的污染物排放有特殊要求的时段，包括重污染天气应对期间和冬防期间等。</w:t>
      </w:r>
    </w:p>
    <w:p>
      <w:pPr>
        <w:ind w:firstLine="480"/>
        <w:rPr>
          <w:rFonts w:cs="Times New Roman"/>
        </w:rPr>
      </w:pPr>
      <w:r>
        <w:rPr>
          <w:rFonts w:cs="Times New Roman"/>
        </w:rPr>
        <w:t>（1</w:t>
      </w:r>
      <w:r>
        <w:rPr>
          <w:rFonts w:hint="eastAsia" w:cs="Times New Roman"/>
        </w:rPr>
        <w:t>4</w:t>
      </w:r>
      <w:r>
        <w:rPr>
          <w:rFonts w:cs="Times New Roman"/>
        </w:rPr>
        <w:t>）非正常情况</w:t>
      </w:r>
    </w:p>
    <w:p>
      <w:pPr>
        <w:ind w:firstLine="480"/>
        <w:rPr>
          <w:rFonts w:cs="Times New Roman"/>
          <w:color w:val="333333"/>
          <w:sz w:val="20"/>
          <w:szCs w:val="20"/>
          <w:shd w:val="clear" w:color="auto" w:fill="FFFFFF"/>
        </w:rPr>
        <w:sectPr>
          <w:footerReference r:id="rId13" w:type="default"/>
          <w:pgSz w:w="11906" w:h="16838"/>
          <w:pgMar w:top="1440" w:right="1797" w:bottom="1440" w:left="1797" w:header="851" w:footer="992" w:gutter="0"/>
          <w:pgNumType w:start="1"/>
          <w:cols w:space="425" w:num="1"/>
          <w:docGrid w:type="lines" w:linePitch="312" w:charSpace="0"/>
        </w:sectPr>
      </w:pPr>
      <w:r>
        <w:rPr>
          <w:rFonts w:cs="Times New Roman"/>
        </w:rPr>
        <w:t>指开停炉(机)、设备检修、工艺设备运转异常等生产设施非正常工况或污染治理设施非正常状况。</w:t>
      </w:r>
    </w:p>
    <w:p>
      <w:pPr>
        <w:pStyle w:val="2"/>
        <w:spacing w:after="0"/>
        <w:rPr>
          <w:rFonts w:cs="Times New Roman"/>
          <w:sz w:val="30"/>
          <w:szCs w:val="30"/>
        </w:rPr>
      </w:pPr>
      <w:bookmarkStart w:id="32" w:name="_Toc97540945"/>
      <w:bookmarkStart w:id="33" w:name="_Toc127266637"/>
      <w:bookmarkStart w:id="34" w:name="_Toc94185459"/>
      <w:r>
        <w:rPr>
          <w:rFonts w:cs="Times New Roman"/>
          <w:sz w:val="30"/>
          <w:szCs w:val="30"/>
        </w:rPr>
        <w:t>2 关键环境信息提要</w:t>
      </w:r>
      <w:bookmarkEnd w:id="32"/>
      <w:bookmarkEnd w:id="33"/>
      <w:bookmarkEnd w:id="34"/>
    </w:p>
    <w:p>
      <w:pPr>
        <w:pStyle w:val="3"/>
        <w:rPr>
          <w:rFonts w:cs="Times New Roman"/>
          <w:bCs w:val="0"/>
          <w:szCs w:val="28"/>
        </w:rPr>
      </w:pPr>
      <w:bookmarkStart w:id="35" w:name="_Toc97540946"/>
      <w:bookmarkStart w:id="36" w:name="_Toc94185460"/>
      <w:bookmarkStart w:id="37" w:name="_Toc127266638"/>
      <w:r>
        <w:rPr>
          <w:rFonts w:cs="Times New Roman"/>
          <w:bCs w:val="0"/>
          <w:szCs w:val="28"/>
        </w:rPr>
        <w:t>2.1 年度生态环境行政许可变更情况</w:t>
      </w:r>
      <w:bookmarkEnd w:id="35"/>
      <w:bookmarkEnd w:id="36"/>
      <w:bookmarkEnd w:id="37"/>
    </w:p>
    <w:p>
      <w:pPr>
        <w:ind w:firstLine="480"/>
      </w:pPr>
      <w:r>
        <w:t>（1）建设项目环境影响评价</w:t>
      </w:r>
    </w:p>
    <w:p>
      <w:pPr>
        <w:ind w:firstLine="480"/>
      </w:pPr>
      <w:r>
        <w:rPr>
          <w:rFonts w:hint="eastAsia"/>
        </w:rPr>
        <w:t>珲春紫金矿业有限公司曙光金铜矿2022年无新建任何新改扩建项目，项目开展建设项目环境影响评价工作。</w:t>
      </w:r>
    </w:p>
    <w:p>
      <w:pPr>
        <w:ind w:firstLine="480"/>
      </w:pPr>
      <w:r>
        <w:t>（2）排污许可</w:t>
      </w:r>
    </w:p>
    <w:p>
      <w:pPr>
        <w:ind w:firstLine="480"/>
      </w:pPr>
      <w:bookmarkStart w:id="38" w:name="_Toc94185461"/>
      <w:r>
        <w:rPr>
          <w:rFonts w:hint="eastAsia"/>
        </w:rPr>
        <w:t>珲春紫金矿业有限公司2022年8月办理了排污许可变更业务，在排污许可证中补充固体废物管理信息和危险废物种类，变更后证书编号和有效期不变。</w:t>
      </w:r>
    </w:p>
    <w:p>
      <w:pPr>
        <w:ind w:firstLine="480"/>
      </w:pPr>
      <w:r>
        <w:rPr>
          <w:rFonts w:hint="eastAsia"/>
        </w:rPr>
        <w:t>（3）辐射安全许可证</w:t>
      </w:r>
      <w:r>
        <w:t>执行情况</w:t>
      </w:r>
    </w:p>
    <w:p>
      <w:pPr>
        <w:ind w:firstLine="480"/>
        <w:rPr>
          <w:rFonts w:cs="Times New Roman"/>
        </w:rPr>
      </w:pPr>
      <w:r>
        <w:rPr>
          <w:rFonts w:hint="eastAsia"/>
        </w:rPr>
        <w:t>珲春紫金矿业有限公司曙光金铜矿</w:t>
      </w:r>
      <w:r>
        <w:rPr>
          <w:rFonts w:hint="eastAsia" w:cs="Times New Roman"/>
        </w:rPr>
        <w:t>2022年未办理辐射安全许可变更业务。</w:t>
      </w:r>
    </w:p>
    <w:p>
      <w:pPr>
        <w:pStyle w:val="3"/>
        <w:rPr>
          <w:rFonts w:eastAsia="微软雅黑" w:cs="Times New Roman"/>
          <w:color w:val="000000"/>
          <w:sz w:val="27"/>
          <w:szCs w:val="27"/>
        </w:rPr>
      </w:pPr>
      <w:bookmarkStart w:id="39" w:name="_Toc97540947"/>
      <w:bookmarkStart w:id="40" w:name="_Toc127266639"/>
      <w:r>
        <w:rPr>
          <w:rFonts w:cs="Times New Roman"/>
          <w:bCs w:val="0"/>
          <w:szCs w:val="28"/>
        </w:rPr>
        <w:t>2.2 年度主要污染物排放和碳排放情况</w:t>
      </w:r>
      <w:bookmarkEnd w:id="38"/>
      <w:bookmarkEnd w:id="39"/>
      <w:bookmarkEnd w:id="40"/>
    </w:p>
    <w:p>
      <w:pPr>
        <w:ind w:firstLine="480"/>
        <w:rPr>
          <w:rFonts w:cs="Times New Roman"/>
        </w:rPr>
      </w:pPr>
      <w:r>
        <w:rPr>
          <w:rFonts w:cs="Times New Roman"/>
        </w:rPr>
        <w:t>（1）大气污染物</w:t>
      </w:r>
    </w:p>
    <w:p>
      <w:pPr>
        <w:ind w:firstLine="480"/>
        <w:rPr>
          <w:rFonts w:cs="Times New Roman"/>
        </w:rPr>
      </w:pPr>
      <w:r>
        <w:rPr>
          <w:rFonts w:cs="Times New Roman"/>
        </w:rPr>
        <w:t>202</w:t>
      </w:r>
      <w:r>
        <w:rPr>
          <w:rFonts w:hint="eastAsia" w:cs="Times New Roman"/>
        </w:rPr>
        <w:t>2</w:t>
      </w:r>
      <w:r>
        <w:rPr>
          <w:rFonts w:cs="Times New Roman"/>
        </w:rPr>
        <w:t>年</w:t>
      </w:r>
      <w:r>
        <w:rPr>
          <w:rFonts w:hint="eastAsia"/>
        </w:rPr>
        <w:t>珲春紫金矿业有限公司曙光金铜矿</w:t>
      </w:r>
      <w:r>
        <w:rPr>
          <w:rFonts w:hint="eastAsia" w:cs="Times New Roman"/>
        </w:rPr>
        <w:t>氮氧化物排放量为25.631258吨，二氧化硫排放量为12.613129吨，颗粒物</w:t>
      </w:r>
      <w:r>
        <w:rPr>
          <w:rFonts w:cs="Times New Roman"/>
        </w:rPr>
        <w:t>排放量约为</w:t>
      </w:r>
      <w:r>
        <w:rPr>
          <w:rFonts w:hint="eastAsia" w:cs="Times New Roman"/>
        </w:rPr>
        <w:t>89.473508吨（其中锅炉排放颗粒物3.927208吨）</w:t>
      </w:r>
      <w:r>
        <w:rPr>
          <w:rFonts w:cs="Times New Roman"/>
        </w:rPr>
        <w:t>。</w:t>
      </w:r>
    </w:p>
    <w:p>
      <w:pPr>
        <w:ind w:firstLine="480"/>
        <w:rPr>
          <w:rFonts w:cs="Times New Roman"/>
        </w:rPr>
      </w:pPr>
      <w:r>
        <w:rPr>
          <w:rFonts w:cs="Times New Roman"/>
        </w:rPr>
        <w:t>（2）水污染物</w:t>
      </w:r>
    </w:p>
    <w:p>
      <w:pPr>
        <w:ind w:firstLine="480"/>
        <w:rPr>
          <w:rFonts w:cs="Times New Roman"/>
        </w:rPr>
      </w:pPr>
      <w:r>
        <w:rPr>
          <w:rFonts w:hint="eastAsia"/>
        </w:rPr>
        <w:t>珲春紫金矿业有限公司曙光金铜矿</w:t>
      </w:r>
      <w:r>
        <w:rPr>
          <w:rFonts w:hint="eastAsia" w:cs="Times New Roman"/>
        </w:rPr>
        <w:t>废水不外排。</w:t>
      </w:r>
    </w:p>
    <w:p>
      <w:pPr>
        <w:ind w:firstLine="480"/>
        <w:rPr>
          <w:rFonts w:cs="Times New Roman"/>
        </w:rPr>
      </w:pPr>
      <w:r>
        <w:rPr>
          <w:rFonts w:cs="Times New Roman"/>
        </w:rPr>
        <w:t>（3）工业固体废物和危险废物</w:t>
      </w:r>
    </w:p>
    <w:p>
      <w:pPr>
        <w:ind w:firstLine="480"/>
        <w:rPr>
          <w:rFonts w:cs="Times New Roman"/>
          <w:kern w:val="0"/>
          <w:szCs w:val="24"/>
        </w:rPr>
      </w:pPr>
      <w:r>
        <w:rPr>
          <w:rFonts w:hint="eastAsia"/>
        </w:rPr>
        <w:t>2022年，珲春紫金矿业有限公司曙光金铜矿排出浮选尾矿量为1001.91945万吨，用泵送至尾矿库中堆存；2022年产生的废石量为284.04万吨，其中</w:t>
      </w:r>
      <w:r>
        <w:rPr>
          <w:rFonts w:hint="eastAsia"/>
          <w:color w:val="000000"/>
          <w:kern w:val="0"/>
          <w:szCs w:val="21"/>
          <w:lang w:bidi="ar"/>
        </w:rPr>
        <w:t>7.93万</w:t>
      </w:r>
      <w:r>
        <w:rPr>
          <w:rFonts w:cs="Times New Roman"/>
          <w:kern w:val="0"/>
          <w:szCs w:val="24"/>
        </w:rPr>
        <w:t>吨</w:t>
      </w:r>
      <w:r>
        <w:rPr>
          <w:rFonts w:hint="eastAsia" w:cs="Times New Roman"/>
        </w:rPr>
        <w:t>采矿废石</w:t>
      </w:r>
      <w:r>
        <w:rPr>
          <w:rFonts w:cs="Times New Roman"/>
        </w:rPr>
        <w:t>委托</w:t>
      </w:r>
      <w:r>
        <w:rPr>
          <w:rFonts w:hint="eastAsia"/>
          <w:szCs w:val="21"/>
        </w:rPr>
        <w:t>珲春森林山新型建材有限公司作为建筑石料综合利用</w:t>
      </w:r>
      <w:r>
        <w:rPr>
          <w:rFonts w:hint="eastAsia" w:cs="Times New Roman"/>
          <w:kern w:val="0"/>
          <w:szCs w:val="24"/>
        </w:rPr>
        <w:t>；2022年，</w:t>
      </w:r>
      <w:r>
        <w:rPr>
          <w:rFonts w:cs="Times New Roman"/>
        </w:rPr>
        <w:t>产生</w:t>
      </w:r>
      <w:r>
        <w:rPr>
          <w:rFonts w:hint="eastAsia" w:cs="Times New Roman"/>
        </w:rPr>
        <w:t>炉渣6429.16吨，其中4329.16吨炉渣</w:t>
      </w:r>
      <w:r>
        <w:rPr>
          <w:rFonts w:cs="Times New Roman"/>
        </w:rPr>
        <w:t>委托</w:t>
      </w:r>
      <w:r>
        <w:rPr>
          <w:rFonts w:hint="eastAsia"/>
          <w:szCs w:val="21"/>
        </w:rPr>
        <w:t>珲春鑫辉建筑工程有限公司作为制砖原料综合利用</w:t>
      </w:r>
      <w:r>
        <w:rPr>
          <w:rFonts w:hint="eastAsia" w:cs="Times New Roman"/>
          <w:kern w:val="0"/>
          <w:szCs w:val="24"/>
        </w:rPr>
        <w:t>。</w:t>
      </w:r>
    </w:p>
    <w:p>
      <w:pPr>
        <w:ind w:firstLine="480"/>
        <w:rPr>
          <w:rFonts w:cs="Times New Roman"/>
        </w:rPr>
      </w:pPr>
      <w:r>
        <w:rPr>
          <w:rFonts w:hint="eastAsia" w:cs="Times New Roman"/>
        </w:rPr>
        <w:t>2022年</w:t>
      </w:r>
      <w:r>
        <w:rPr>
          <w:rFonts w:hint="eastAsia"/>
        </w:rPr>
        <w:t>珲春紫金矿业有限公司曙光金铜矿共产生废润滑油49.58吨、</w:t>
      </w:r>
      <w:r>
        <w:rPr>
          <w:rFonts w:hint="eastAsia" w:cs="Times New Roman"/>
        </w:rPr>
        <w:t>废齿轮</w:t>
      </w:r>
      <w:r>
        <w:rPr>
          <w:rFonts w:hint="eastAsia" w:cs="Times New Roman"/>
          <w:szCs w:val="24"/>
        </w:rPr>
        <w:t>油30.16348吨、</w:t>
      </w:r>
      <w:r>
        <w:rPr>
          <w:rFonts w:cs="Times New Roman"/>
          <w:szCs w:val="24"/>
        </w:rPr>
        <w:t>废油桶</w:t>
      </w:r>
      <w:r>
        <w:rPr>
          <w:rFonts w:hint="eastAsia" w:cs="Times New Roman"/>
          <w:szCs w:val="24"/>
        </w:rPr>
        <w:t>5.8494吨、废油漆桶2.25306吨、药剂包装物0.47144吨、实验室废试剂</w:t>
      </w:r>
      <w:r>
        <w:rPr>
          <w:rFonts w:cs="Times New Roman"/>
          <w:szCs w:val="24"/>
        </w:rPr>
        <w:t>0.05012</w:t>
      </w:r>
      <w:r>
        <w:rPr>
          <w:rFonts w:hint="eastAsia" w:cs="Times New Roman"/>
          <w:szCs w:val="24"/>
        </w:rPr>
        <w:t>吨、化验室废酸18.75吨；结合上年结存量，分别委托吉林省环科废油脂加工有限责任公司利用废润滑油67.18吨，吉林省蓝天固废处理中心有限公司焚烧处置废齿轮油30.16348吨、</w:t>
      </w:r>
      <w:r>
        <w:rPr>
          <w:rFonts w:cs="Times New Roman"/>
          <w:szCs w:val="24"/>
        </w:rPr>
        <w:t>废油桶</w:t>
      </w:r>
      <w:r>
        <w:rPr>
          <w:rFonts w:hint="eastAsia" w:cs="Times New Roman"/>
          <w:szCs w:val="24"/>
        </w:rPr>
        <w:t>7.5924吨、废油漆桶2.35906吨、药剂包装物0.49494吨、实验室废试剂</w:t>
      </w:r>
      <w:r>
        <w:rPr>
          <w:rFonts w:cs="Times New Roman"/>
          <w:szCs w:val="24"/>
        </w:rPr>
        <w:t>0.05012</w:t>
      </w:r>
      <w:r>
        <w:rPr>
          <w:rFonts w:hint="eastAsia" w:cs="Times New Roman"/>
          <w:szCs w:val="24"/>
        </w:rPr>
        <w:t>吨；</w:t>
      </w:r>
      <w:r>
        <w:rPr>
          <w:rFonts w:hint="eastAsia" w:cs="Times New Roman"/>
        </w:rPr>
        <w:t>化验室废酸排入</w:t>
      </w:r>
      <w:r>
        <w:rPr>
          <w:rFonts w:cs="Times New Roman"/>
        </w:rPr>
        <w:t>化验室污水综合处理</w:t>
      </w:r>
      <w:r>
        <w:rPr>
          <w:rFonts w:hint="eastAsia" w:cs="Times New Roman"/>
        </w:rPr>
        <w:t>系统处理后回用于酸雾吸收塔</w:t>
      </w:r>
      <w:r>
        <w:rPr>
          <w:rFonts w:cs="Times New Roman"/>
        </w:rPr>
        <w:t>。</w:t>
      </w:r>
    </w:p>
    <w:p>
      <w:pPr>
        <w:ind w:firstLine="480"/>
        <w:rPr>
          <w:rFonts w:cs="Times New Roman"/>
        </w:rPr>
      </w:pPr>
      <w:r>
        <w:rPr>
          <w:rFonts w:cs="Times New Roman"/>
        </w:rPr>
        <w:t>（4）有毒有害物质</w:t>
      </w:r>
    </w:p>
    <w:p>
      <w:pPr>
        <w:ind w:firstLine="480"/>
        <w:rPr>
          <w:rFonts w:cs="Times New Roman"/>
        </w:rPr>
      </w:pPr>
      <w:r>
        <w:rPr>
          <w:rFonts w:hint="eastAsia"/>
        </w:rPr>
        <w:t>珲春紫金矿业有限公司曙光金铜矿</w:t>
      </w:r>
      <w:r>
        <w:rPr>
          <w:rFonts w:hint="eastAsia" w:cs="Times New Roman"/>
        </w:rPr>
        <w:t>不涉及</w:t>
      </w:r>
      <w:r>
        <w:rPr>
          <w:rFonts w:cs="Times New Roman"/>
        </w:rPr>
        <w:t>有毒有害物质</w:t>
      </w:r>
      <w:r>
        <w:rPr>
          <w:rFonts w:hint="eastAsia" w:cs="Times New Roman"/>
        </w:rPr>
        <w:t>排放</w:t>
      </w:r>
      <w:r>
        <w:rPr>
          <w:rFonts w:cs="Times New Roman"/>
        </w:rPr>
        <w:t>。</w:t>
      </w:r>
    </w:p>
    <w:p>
      <w:pPr>
        <w:ind w:firstLine="480"/>
        <w:rPr>
          <w:rFonts w:cs="Times New Roman"/>
        </w:rPr>
      </w:pPr>
      <w:r>
        <w:rPr>
          <w:rFonts w:cs="Times New Roman"/>
        </w:rPr>
        <w:t>（5）碳排放量</w:t>
      </w:r>
    </w:p>
    <w:p>
      <w:pPr>
        <w:ind w:firstLine="480"/>
        <w:rPr>
          <w:rFonts w:cs="Times New Roman"/>
        </w:rPr>
      </w:pPr>
      <w:r>
        <w:rPr>
          <w:rFonts w:cs="Times New Roman"/>
        </w:rPr>
        <w:t>202</w:t>
      </w:r>
      <w:r>
        <w:rPr>
          <w:rFonts w:hint="eastAsia" w:cs="Times New Roman"/>
        </w:rPr>
        <w:t>2</w:t>
      </w:r>
      <w:r>
        <w:rPr>
          <w:rFonts w:cs="Times New Roman"/>
        </w:rPr>
        <w:t>年</w:t>
      </w:r>
      <w:r>
        <w:rPr>
          <w:rFonts w:hint="eastAsia"/>
        </w:rPr>
        <w:t>珲春紫金矿业有限公司曙光金铜矿</w:t>
      </w:r>
      <w:r>
        <w:rPr>
          <w:rFonts w:cs="Times New Roman"/>
        </w:rPr>
        <w:t>碳排放量约为</w:t>
      </w:r>
      <w:r>
        <w:rPr>
          <w:rFonts w:hint="eastAsia" w:cs="Times New Roman"/>
        </w:rPr>
        <w:t>22.0080万吨</w:t>
      </w:r>
      <w:r>
        <w:rPr>
          <w:rFonts w:cs="Times New Roman"/>
        </w:rPr>
        <w:t>。</w:t>
      </w:r>
    </w:p>
    <w:p>
      <w:pPr>
        <w:pStyle w:val="3"/>
        <w:rPr>
          <w:rFonts w:cs="Times New Roman"/>
          <w:bCs w:val="0"/>
          <w:szCs w:val="28"/>
        </w:rPr>
      </w:pPr>
      <w:bookmarkStart w:id="41" w:name="_Toc97540948"/>
      <w:bookmarkStart w:id="42" w:name="_Toc127266640"/>
      <w:bookmarkStart w:id="43" w:name="_Toc94185462"/>
      <w:r>
        <w:rPr>
          <w:rFonts w:cs="Times New Roman"/>
          <w:bCs w:val="0"/>
          <w:szCs w:val="28"/>
        </w:rPr>
        <w:t>2.3 年度受到的生态环境行政处罚、司法判决情况</w:t>
      </w:r>
      <w:bookmarkEnd w:id="41"/>
      <w:bookmarkEnd w:id="42"/>
      <w:bookmarkEnd w:id="43"/>
    </w:p>
    <w:p>
      <w:pPr>
        <w:ind w:firstLine="480"/>
        <w:rPr>
          <w:rFonts w:cs="Times New Roman"/>
        </w:rPr>
      </w:pPr>
      <w:r>
        <w:rPr>
          <w:rFonts w:cs="Times New Roman"/>
        </w:rPr>
        <w:t>202</w:t>
      </w:r>
      <w:r>
        <w:rPr>
          <w:rFonts w:hint="eastAsia" w:cs="Times New Roman"/>
        </w:rPr>
        <w:t>2</w:t>
      </w:r>
      <w:r>
        <w:rPr>
          <w:rFonts w:cs="Times New Roman"/>
        </w:rPr>
        <w:t>年，</w:t>
      </w:r>
      <w:r>
        <w:rPr>
          <w:rFonts w:hint="eastAsia"/>
        </w:rPr>
        <w:t>珲春紫金矿业有限公司曙光金铜矿</w:t>
      </w:r>
      <w:r>
        <w:rPr>
          <w:rFonts w:cs="Times New Roman"/>
        </w:rPr>
        <w:t>未发生环境违法行为、重特大环境污染事故、环保诉讼或上访、媒体曝光以及其它环保违法违规行为，没有受到</w:t>
      </w:r>
      <w:r>
        <w:rPr>
          <w:rFonts w:cs="Times New Roman"/>
          <w:szCs w:val="28"/>
        </w:rPr>
        <w:t>生态环境</w:t>
      </w:r>
      <w:r>
        <w:rPr>
          <w:rFonts w:cs="Times New Roman"/>
        </w:rPr>
        <w:t>行政处罚、司法判决。</w:t>
      </w:r>
    </w:p>
    <w:p>
      <w:pPr>
        <w:ind w:firstLine="480"/>
        <w:rPr>
          <w:rFonts w:cs="Times New Roman"/>
        </w:rPr>
        <w:sectPr>
          <w:pgSz w:w="11906" w:h="16838"/>
          <w:pgMar w:top="1440" w:right="1797" w:bottom="1440" w:left="1797" w:header="851" w:footer="992" w:gutter="0"/>
          <w:cols w:space="425" w:num="1"/>
          <w:docGrid w:type="lines" w:linePitch="312" w:charSpace="0"/>
        </w:sectPr>
      </w:pPr>
    </w:p>
    <w:p>
      <w:pPr>
        <w:pStyle w:val="2"/>
        <w:spacing w:after="0"/>
        <w:rPr>
          <w:rFonts w:cs="Times New Roman"/>
          <w:sz w:val="30"/>
          <w:szCs w:val="30"/>
        </w:rPr>
      </w:pPr>
      <w:bookmarkStart w:id="44" w:name="_Toc94185463"/>
      <w:bookmarkStart w:id="45" w:name="_Toc97540949"/>
      <w:bookmarkStart w:id="46" w:name="_Toc127266641"/>
      <w:r>
        <w:rPr>
          <w:rFonts w:cs="Times New Roman"/>
          <w:sz w:val="30"/>
          <w:szCs w:val="30"/>
        </w:rPr>
        <w:t>3 企业基本信息</w:t>
      </w:r>
      <w:bookmarkEnd w:id="44"/>
      <w:bookmarkEnd w:id="45"/>
      <w:bookmarkEnd w:id="46"/>
    </w:p>
    <w:p>
      <w:pPr>
        <w:pStyle w:val="3"/>
        <w:rPr>
          <w:rFonts w:cs="Times New Roman"/>
          <w:szCs w:val="28"/>
        </w:rPr>
      </w:pPr>
      <w:bookmarkStart w:id="47" w:name="_Toc97540950"/>
      <w:bookmarkStart w:id="48" w:name="_Toc94185464"/>
      <w:bookmarkStart w:id="49" w:name="_Toc127266642"/>
      <w:r>
        <w:rPr>
          <w:rFonts w:cs="Times New Roman"/>
          <w:szCs w:val="28"/>
        </w:rPr>
        <w:t>3.1 企业介绍</w:t>
      </w:r>
      <w:bookmarkEnd w:id="47"/>
      <w:bookmarkEnd w:id="48"/>
      <w:bookmarkEnd w:id="49"/>
    </w:p>
    <w:p>
      <w:pPr>
        <w:ind w:firstLine="480"/>
      </w:pPr>
      <w:r>
        <w:rPr>
          <w:rFonts w:hint="eastAsia"/>
        </w:rPr>
        <w:t>珲春紫金矿业有限公司位于吉林省延边州珲春市边境经济合作区18号小区，于2003年1月10日成立，是紫金矿业集团股份有限公司的全资子公司，主要业务包括</w:t>
      </w:r>
      <w:r>
        <w:t>金、铜、银及其它有色金属和非金属矿产的开采、选矿；矿产品的销售；矿产地质、矿产资源勘查及其信息、技术服务；采矿、选矿技术的研究、开发、咨询、服务、转让；法律、法规允许的进出口贸易</w:t>
      </w:r>
      <w:r>
        <w:rPr>
          <w:rFonts w:hint="eastAsia"/>
        </w:rPr>
        <w:t>。</w:t>
      </w:r>
    </w:p>
    <w:p>
      <w:pPr>
        <w:ind w:firstLine="480"/>
      </w:pPr>
      <w:r>
        <w:rPr>
          <w:rFonts w:hint="eastAsia"/>
        </w:rPr>
        <w:t>珲春紫金矿业有限公司曙光金铜矿（以下简称曙光金铜矿）作为其主要的生产部门，</w:t>
      </w:r>
      <w:r>
        <w:t>于2003年</w:t>
      </w:r>
      <w:r>
        <w:rPr>
          <w:rFonts w:hint="eastAsia"/>
        </w:rPr>
        <w:t>9</w:t>
      </w:r>
      <w:r>
        <w:t>月</w:t>
      </w:r>
      <w:r>
        <w:rPr>
          <w:rFonts w:hint="eastAsia"/>
        </w:rPr>
        <w:t>17</w:t>
      </w:r>
      <w:r>
        <w:t>日</w:t>
      </w:r>
      <w:r>
        <w:rPr>
          <w:rFonts w:hint="eastAsia"/>
        </w:rPr>
        <w:t>成为独立法人单位。曙光金铜矿</w:t>
      </w:r>
      <w:r>
        <w:t>位于珲春市春化镇西25km的山区中，矿区地理坐标为东经130°51′31″</w:t>
      </w:r>
      <w:r>
        <w:rPr>
          <w:rFonts w:hint="eastAsia"/>
        </w:rPr>
        <w:t>~</w:t>
      </w:r>
      <w:r>
        <w:t>130°55′00″，北纬43°11′19″</w:t>
      </w:r>
      <w:r>
        <w:rPr>
          <w:rFonts w:hint="eastAsia"/>
        </w:rPr>
        <w:t>~</w:t>
      </w:r>
      <w:r>
        <w:t>43°14′23″</w:t>
      </w:r>
      <w:r>
        <w:rPr>
          <w:rFonts w:hint="eastAsia"/>
        </w:rPr>
        <w:t>，</w:t>
      </w:r>
      <w:r>
        <w:rPr>
          <w:rFonts w:cs="Times New Roman"/>
        </w:rPr>
        <w:t>地理位置见图1.1-1。</w:t>
      </w:r>
    </w:p>
    <w:p>
      <w:pPr>
        <w:ind w:firstLine="480"/>
      </w:pPr>
      <w:r>
        <w:t>曙光金铜矿是一</w:t>
      </w:r>
      <w:r>
        <w:rPr>
          <w:rFonts w:hint="eastAsia"/>
        </w:rPr>
        <w:t>家</w:t>
      </w:r>
      <w:r>
        <w:t>以大规模开采低品位金铜矿产资源为主业的矿业企业。自2003年公司成立以来，曙光金铜矿已累计投入资金</w:t>
      </w:r>
      <w:r>
        <w:rPr>
          <w:rFonts w:hint="eastAsia"/>
        </w:rPr>
        <w:t>8</w:t>
      </w:r>
      <w:r>
        <w:t>亿多元进行了</w:t>
      </w:r>
      <w:r>
        <w:rPr>
          <w:rFonts w:hint="eastAsia"/>
        </w:rPr>
        <w:t>5</w:t>
      </w:r>
      <w:r>
        <w:t>次技术改造，公司生产规模由老企业时的850吨/日迅速提高到现在的</w:t>
      </w:r>
      <w:r>
        <w:rPr>
          <w:rFonts w:hint="eastAsia"/>
        </w:rPr>
        <w:t>2</w:t>
      </w:r>
      <w:r>
        <w:t>5000吨/日。</w:t>
      </w:r>
    </w:p>
    <w:p>
      <w:pPr>
        <w:ind w:firstLine="480"/>
        <w:rPr>
          <w:rFonts w:cs="Times New Roman"/>
        </w:rPr>
      </w:pPr>
      <w:r>
        <w:t>曙光金铜矿</w:t>
      </w:r>
      <w:r>
        <w:rPr>
          <w:rFonts w:cs="Times New Roman"/>
        </w:rPr>
        <w:t>属</w:t>
      </w:r>
      <w:r>
        <w:rPr>
          <w:rFonts w:hint="eastAsia" w:cs="Times New Roman"/>
        </w:rPr>
        <w:t>有色金属采选行业</w:t>
      </w:r>
      <w:r>
        <w:rPr>
          <w:rFonts w:cs="Times New Roman"/>
        </w:rPr>
        <w:t>，</w:t>
      </w:r>
      <w:r>
        <w:t>矿区分为南山井田与北山井田</w:t>
      </w:r>
      <w:r>
        <w:rPr>
          <w:rFonts w:hint="eastAsia"/>
        </w:rPr>
        <w:t>，目前在运行的选矿厂包括二选厂（处理规模4000t/d）、三选厂（处理规模9500t/d）和一选厂（废石综合利用项目选厂，选矿规模10000t/d）。</w:t>
      </w:r>
    </w:p>
    <w:p>
      <w:pPr>
        <w:spacing w:line="460" w:lineRule="exact"/>
        <w:ind w:firstLine="480"/>
        <w:rPr>
          <w:rFonts w:eastAsia="黑体" w:cs="Times New Roman"/>
          <w:bCs/>
          <w:sz w:val="21"/>
          <w:szCs w:val="32"/>
        </w:rPr>
      </w:pPr>
      <w:r>
        <w:rPr>
          <w:rFonts w:hint="eastAsia" w:cs="Times New Roman"/>
        </w:rPr>
        <w:t>曙光金铜矿</w:t>
      </w:r>
      <w:r>
        <w:rPr>
          <w:rFonts w:cs="Times New Roman"/>
        </w:rPr>
        <w:t>基本情况见表3.1-1。</w:t>
      </w:r>
    </w:p>
    <w:p>
      <w:pPr>
        <w:ind w:firstLine="0" w:firstLineChars="0"/>
        <w:jc w:val="center"/>
        <w:rPr>
          <w:rFonts w:eastAsia="黑体" w:cs="Times New Roman"/>
        </w:rPr>
      </w:pPr>
      <w:r>
        <w:rPr>
          <w:rFonts w:eastAsia="黑体" w:cs="Times New Roman"/>
        </w:rPr>
        <w:t>表3.1-1  企业基本情况</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85" w:type="dxa"/>
          <w:bottom w:w="0" w:type="dxa"/>
          <w:right w:w="85" w:type="dxa"/>
        </w:tblCellMar>
      </w:tblPr>
      <w:tblGrid>
        <w:gridCol w:w="2353"/>
        <w:gridCol w:w="2984"/>
        <w:gridCol w:w="1376"/>
        <w:gridCol w:w="17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1387"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企业名称</w:t>
            </w:r>
          </w:p>
        </w:tc>
        <w:tc>
          <w:tcPr>
            <w:tcW w:w="3613" w:type="pct"/>
            <w:gridSpan w:val="3"/>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珲春紫金矿业有限公司曙光金铜矿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1387"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企业性质</w:t>
            </w:r>
          </w:p>
        </w:tc>
        <w:tc>
          <w:tcPr>
            <w:tcW w:w="3613" w:type="pct"/>
            <w:gridSpan w:val="3"/>
            <w:vAlign w:val="center"/>
          </w:tcPr>
          <w:p>
            <w:pPr>
              <w:adjustRightInd w:val="0"/>
              <w:snapToGrid w:val="0"/>
              <w:spacing w:line="240" w:lineRule="auto"/>
              <w:ind w:firstLine="0" w:firstLineChars="0"/>
              <w:jc w:val="center"/>
              <w:rPr>
                <w:rFonts w:eastAsia="宋体" w:cs="Times New Roman"/>
                <w:color w:val="FF0000"/>
                <w:sz w:val="21"/>
                <w:szCs w:val="21"/>
              </w:rPr>
            </w:pPr>
            <w:r>
              <w:rPr>
                <w:rFonts w:eastAsia="宋体" w:cs="Times New Roman"/>
                <w:sz w:val="21"/>
                <w:szCs w:val="21"/>
              </w:rPr>
              <w:t>有限责任公司（国有控股）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1387"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注册地址</w:t>
            </w:r>
          </w:p>
        </w:tc>
        <w:tc>
          <w:tcPr>
            <w:tcW w:w="3613" w:type="pct"/>
            <w:gridSpan w:val="3"/>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吉林省延边州珲春市春化镇小西南岔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1387"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生产地址</w:t>
            </w:r>
          </w:p>
        </w:tc>
        <w:tc>
          <w:tcPr>
            <w:tcW w:w="3613" w:type="pct"/>
            <w:gridSpan w:val="3"/>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吉林省延边州珲春市春化镇小西南岔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1387"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行业类别</w:t>
            </w:r>
          </w:p>
        </w:tc>
        <w:tc>
          <w:tcPr>
            <w:tcW w:w="3613" w:type="pct"/>
            <w:gridSpan w:val="3"/>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有色金属采选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1387"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生产经营和管理服务的主要内容</w:t>
            </w:r>
          </w:p>
        </w:tc>
        <w:tc>
          <w:tcPr>
            <w:tcW w:w="3613" w:type="pct"/>
            <w:gridSpan w:val="3"/>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金、铜及其它有色金属和非金属矿产品开采、选冶、加工、矿产品销售，矿产资源勘查及其信息、技术服务。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1387"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是否重点排污单位</w:t>
            </w:r>
          </w:p>
        </w:tc>
        <w:tc>
          <w:tcPr>
            <w:tcW w:w="3613" w:type="pct"/>
            <w:gridSpan w:val="3"/>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土壤重点监管单位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1387"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是否</w:t>
            </w:r>
            <w:r>
              <w:fldChar w:fldCharType="begin"/>
            </w:r>
            <w:r>
              <w:instrText xml:space="preserve"> HYPERLINK "http://www.baidu.com/link?url=3Poe31ovDINTbI0obMN2-dgLxNY1wGUIZSA-NerUDBYNyI2AzeChq5xyq_t_Sw5QPmcew5dm_zIEGMFYARp3tq" \t "_blank" </w:instrText>
            </w:r>
            <w:r>
              <w:fldChar w:fldCharType="separate"/>
            </w:r>
            <w:r>
              <w:rPr>
                <w:rFonts w:eastAsia="宋体" w:cs="Times New Roman"/>
                <w:sz w:val="21"/>
                <w:szCs w:val="21"/>
              </w:rPr>
              <w:t>强制性清洁生产审核</w:t>
            </w:r>
            <w:r>
              <w:rPr>
                <w:rFonts w:eastAsia="宋体" w:cs="Times New Roman"/>
                <w:sz w:val="21"/>
                <w:szCs w:val="21"/>
              </w:rPr>
              <w:fldChar w:fldCharType="end"/>
            </w:r>
            <w:r>
              <w:rPr>
                <w:rFonts w:eastAsia="宋体" w:cs="Times New Roman"/>
                <w:sz w:val="21"/>
                <w:szCs w:val="21"/>
              </w:rPr>
              <w:t>企业</w:t>
            </w:r>
          </w:p>
        </w:tc>
        <w:tc>
          <w:tcPr>
            <w:tcW w:w="3613" w:type="pct"/>
            <w:gridSpan w:val="3"/>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1387"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法定代表人</w:t>
            </w:r>
          </w:p>
        </w:tc>
        <w:tc>
          <w:tcPr>
            <w:tcW w:w="1759"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贺日应</w:t>
            </w:r>
          </w:p>
        </w:tc>
        <w:tc>
          <w:tcPr>
            <w:tcW w:w="811"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联系人</w:t>
            </w:r>
          </w:p>
        </w:tc>
        <w:tc>
          <w:tcPr>
            <w:tcW w:w="1043"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刘文泽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1387"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Email邮箱</w:t>
            </w:r>
          </w:p>
        </w:tc>
        <w:tc>
          <w:tcPr>
            <w:tcW w:w="1759"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hczjlwz@qq.com</w:t>
            </w:r>
          </w:p>
        </w:tc>
        <w:tc>
          <w:tcPr>
            <w:tcW w:w="811"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联系方式</w:t>
            </w:r>
          </w:p>
        </w:tc>
        <w:tc>
          <w:tcPr>
            <w:tcW w:w="1043"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0433-7819288</w:t>
            </w:r>
          </w:p>
        </w:tc>
      </w:tr>
    </w:tbl>
    <w:p>
      <w:pPr>
        <w:adjustRightInd w:val="0"/>
        <w:snapToGrid w:val="0"/>
        <w:ind w:firstLine="480"/>
        <w:rPr>
          <w:rFonts w:cs="Times New Roman"/>
        </w:rPr>
      </w:pPr>
      <w:r>
        <w:rPr>
          <w:rFonts w:cs="Times New Roman"/>
        </w:rPr>
        <mc:AlternateContent>
          <mc:Choice Requires="wps">
            <w:drawing>
              <wp:anchor distT="0" distB="0" distL="114300" distR="114300" simplePos="0" relativeHeight="251660288" behindDoc="0" locked="0" layoutInCell="1" allowOverlap="1">
                <wp:simplePos x="0" y="0"/>
                <wp:positionH relativeFrom="column">
                  <wp:posOffset>2431415</wp:posOffset>
                </wp:positionH>
                <wp:positionV relativeFrom="paragraph">
                  <wp:posOffset>1538605</wp:posOffset>
                </wp:positionV>
                <wp:extent cx="914400" cy="281305"/>
                <wp:effectExtent l="0" t="0" r="133350" b="271145"/>
                <wp:wrapNone/>
                <wp:docPr id="282" name="圆角矩形标注 282"/>
                <wp:cNvGraphicFramePr/>
                <a:graphic xmlns:a="http://schemas.openxmlformats.org/drawingml/2006/main">
                  <a:graphicData uri="http://schemas.microsoft.com/office/word/2010/wordprocessingShape">
                    <wps:wsp>
                      <wps:cNvSpPr/>
                      <wps:spPr>
                        <a:xfrm>
                          <a:off x="0" y="0"/>
                          <a:ext cx="914400" cy="281305"/>
                        </a:xfrm>
                        <a:prstGeom prst="wedgeRoundRectCallout">
                          <a:avLst>
                            <a:gd name="adj1" fmla="val 61726"/>
                            <a:gd name="adj2" fmla="val 131470"/>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240" w:lineRule="exact"/>
                              <w:ind w:left="-120" w:leftChars="-50" w:firstLine="0" w:firstLineChars="0"/>
                              <w:jc w:val="center"/>
                              <w:rPr>
                                <w:b/>
                                <w:color w:val="FF0000"/>
                                <w:sz w:val="18"/>
                                <w:szCs w:val="18"/>
                              </w:rPr>
                            </w:pPr>
                            <w:r>
                              <w:rPr>
                                <w:rFonts w:hint="eastAsia"/>
                                <w:b/>
                                <w:color w:val="FF0000"/>
                                <w:sz w:val="18"/>
                                <w:szCs w:val="18"/>
                              </w:rPr>
                              <w:t>项目所在位置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91.45pt;margin-top:121.15pt;height:22.15pt;width:72pt;z-index:251660288;v-text-anchor:middle;mso-width-relative:page;mso-height-relative:page;" filled="f" stroked="t" coordsize="21600,21600" o:gfxdata="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B5Yziq2AAAAAsBAAAPAAAAAAAAAAEAIAAAACIA&#10;AABkcnMvZG93bnJldi54bWxQSwECFAAUAAAACACHTuJAlKZ2RbQCAABUBQAADgAAAAAAAAABACAA&#10;AAAnAQAAZHJzL2Uyb0RvYy54bWxQSwUGAAAAAAYABgBZAQAATQYAAAAA&#10;" adj="24133,39198,14400">
                <v:fill on="f" focussize="0,0"/>
                <v:stroke color="#000000 [3213]" joinstyle="round"/>
                <v:imagedata o:title=""/>
                <o:lock v:ext="edit" aspectratio="f"/>
                <v:textbox>
                  <w:txbxContent>
                    <w:p>
                      <w:pPr>
                        <w:adjustRightInd w:val="0"/>
                        <w:snapToGrid w:val="0"/>
                        <w:spacing w:line="240" w:lineRule="exact"/>
                        <w:ind w:left="-120" w:leftChars="-50" w:firstLine="0" w:firstLineChars="0"/>
                        <w:jc w:val="center"/>
                        <w:rPr>
                          <w:b/>
                          <w:color w:val="FF0000"/>
                          <w:sz w:val="18"/>
                          <w:szCs w:val="18"/>
                        </w:rPr>
                      </w:pPr>
                      <w:r>
                        <w:rPr>
                          <w:rFonts w:hint="eastAsia"/>
                          <w:b/>
                          <w:color w:val="FF0000"/>
                          <w:sz w:val="18"/>
                          <w:szCs w:val="18"/>
                        </w:rPr>
                        <w:t>项目所在位置</w:t>
                      </w:r>
                    </w:p>
                  </w:txbxContent>
                </v:textbox>
              </v:shape>
            </w:pict>
          </mc:Fallback>
        </mc:AlternateContent>
      </w:r>
      <w:r>
        <w:rPr>
          <w:rFonts w:cs="Times New Roman"/>
        </w:rPr>
        <mc:AlternateContent>
          <mc:Choice Requires="wps">
            <w:drawing>
              <wp:anchor distT="0" distB="0" distL="114300" distR="114300" simplePos="0" relativeHeight="251659264" behindDoc="0" locked="0" layoutInCell="1" allowOverlap="1">
                <wp:simplePos x="0" y="0"/>
                <wp:positionH relativeFrom="column">
                  <wp:posOffset>3454400</wp:posOffset>
                </wp:positionH>
                <wp:positionV relativeFrom="paragraph">
                  <wp:posOffset>2022475</wp:posOffset>
                </wp:positionV>
                <wp:extent cx="45720" cy="57150"/>
                <wp:effectExtent l="19050" t="38100" r="31115" b="57785"/>
                <wp:wrapNone/>
                <wp:docPr id="281" name="五角星 281"/>
                <wp:cNvGraphicFramePr/>
                <a:graphic xmlns:a="http://schemas.openxmlformats.org/drawingml/2006/main">
                  <a:graphicData uri="http://schemas.microsoft.com/office/word/2010/wordprocessingShape">
                    <wps:wsp>
                      <wps:cNvSpPr/>
                      <wps:spPr>
                        <a:xfrm>
                          <a:off x="0" y="0"/>
                          <a:ext cx="45719" cy="57008"/>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72pt;margin-top:159.25pt;height:4.5pt;width:3.6pt;z-index:251659264;v-text-anchor:middle;mso-width-relative:page;mso-height-relative:page;" fillcolor="#FF0000" filled="t" stroked="t" coordsize="45719,57008" o:gfxdata="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xH1FzZAAAACwEAAA8AAAAAAAAAAQAgAAAAIgAAAGRycy9kb3ducmV2LnhtbFBLAQIU&#10;ABQAAAAIAIdO4kB1rFvKZAIAAOIEAAAOAAAAAAAAAAEAIAAAACgBAABkcnMvZTJvRG9jLnhtbFBL&#10;BQYAAAAABgAGAFkBAAD+BQAAAAA=&#10;" path="m0,21775l17463,21775,22859,0,28255,21775,45718,21775,31590,35232,36987,57007,22859,43549,8731,57007,14128,35232xe">
                <v:path o:connectlocs="22859,0;0,21775;8731,57007;36987,57007;45718,21775" o:connectangles="247,164,82,82,0"/>
                <v:fill on="t" focussize="0,0"/>
                <v:stroke weight="2pt" color="#FF0000 [3204]" joinstyle="round"/>
                <v:imagedata o:title=""/>
                <o:lock v:ext="edit" aspectratio="f"/>
              </v:shape>
            </w:pict>
          </mc:Fallback>
        </mc:AlternateContent>
      </w:r>
      <w:r>
        <w:rPr>
          <w:rFonts w:cs="Times New Roman"/>
        </w:rPr>
        <w:drawing>
          <wp:inline distT="0" distB="0" distL="0" distR="0">
            <wp:extent cx="4905375" cy="6511290"/>
            <wp:effectExtent l="0" t="0" r="0" b="381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906556" cy="6513195"/>
                    </a:xfrm>
                    <a:prstGeom prst="rect">
                      <a:avLst/>
                    </a:prstGeom>
                  </pic:spPr>
                </pic:pic>
              </a:graphicData>
            </a:graphic>
          </wp:inline>
        </w:drawing>
      </w:r>
    </w:p>
    <w:p>
      <w:pPr>
        <w:ind w:firstLine="0" w:firstLineChars="0"/>
        <w:jc w:val="center"/>
        <w:rPr>
          <w:rFonts w:eastAsia="黑体" w:cs="Times New Roman"/>
        </w:rPr>
      </w:pPr>
      <w:r>
        <w:rPr>
          <w:rFonts w:eastAsia="黑体" w:cs="Times New Roman"/>
        </w:rPr>
        <w:t xml:space="preserve">图3.1-1  </w:t>
      </w:r>
      <w:r>
        <w:rPr>
          <w:rFonts w:hint="eastAsia" w:eastAsia="黑体" w:cs="Times New Roman"/>
        </w:rPr>
        <w:t>曙光金铜矿</w:t>
      </w:r>
      <w:r>
        <w:rPr>
          <w:rFonts w:eastAsia="黑体" w:cs="Times New Roman"/>
        </w:rPr>
        <w:t>地理位置</w:t>
      </w:r>
    </w:p>
    <w:p>
      <w:pPr>
        <w:pStyle w:val="3"/>
        <w:rPr>
          <w:rFonts w:cs="Times New Roman"/>
          <w:szCs w:val="28"/>
        </w:rPr>
      </w:pPr>
      <w:bookmarkStart w:id="50" w:name="_Toc94185465"/>
      <w:bookmarkStart w:id="51" w:name="_Toc127266643"/>
      <w:bookmarkStart w:id="52" w:name="_Toc97540951"/>
      <w:r>
        <w:rPr>
          <w:rFonts w:cs="Times New Roman"/>
          <w:szCs w:val="28"/>
        </w:rPr>
        <w:t>3.2 环保机构情况</w:t>
      </w:r>
      <w:bookmarkEnd w:id="50"/>
      <w:bookmarkEnd w:id="51"/>
      <w:bookmarkEnd w:id="52"/>
    </w:p>
    <w:p>
      <w:pPr>
        <w:ind w:firstLine="480"/>
      </w:pPr>
      <w:bookmarkStart w:id="53" w:name="_Toc94185466"/>
      <w:r>
        <w:rPr>
          <w:rFonts w:hint="eastAsia"/>
        </w:rPr>
        <w:t>曙光金铜矿</w:t>
      </w:r>
      <w:r>
        <w:t>有着完善的环保组织结构，公司已设立</w:t>
      </w:r>
      <w:r>
        <w:rPr>
          <w:rFonts w:hint="eastAsia"/>
        </w:rPr>
        <w:t>安全生产与环境保护处</w:t>
      </w:r>
      <w:r>
        <w:t>，统一领导、协调公司的环保工作，负责公司环境保护方面的日常监督管理工作</w:t>
      </w:r>
      <w:r>
        <w:rPr>
          <w:rFonts w:hint="eastAsia"/>
        </w:rPr>
        <w:t>，</w:t>
      </w:r>
      <w:r>
        <w:t>并</w:t>
      </w:r>
      <w:r>
        <w:rPr>
          <w:rFonts w:hint="eastAsia"/>
        </w:rPr>
        <w:t>由</w:t>
      </w:r>
      <w:r>
        <w:t>一名公司领导具体分管环境保护工作</w:t>
      </w:r>
      <w:r>
        <w:rPr>
          <w:rFonts w:hint="eastAsia"/>
        </w:rPr>
        <w:t>。</w:t>
      </w:r>
      <w:r>
        <w:t>公司制定了详细的环境管理文件，不断完善企业环境管理制度和相关</w:t>
      </w:r>
      <w:r>
        <w:rPr>
          <w:rFonts w:hint="eastAsia"/>
        </w:rPr>
        <w:t>环保</w:t>
      </w:r>
      <w:r>
        <w:t>档案。公司</w:t>
      </w:r>
      <w:r>
        <w:rPr>
          <w:rFonts w:hint="eastAsia"/>
        </w:rPr>
        <w:t>共有</w:t>
      </w:r>
      <w:r>
        <w:t>专职环保人员</w:t>
      </w:r>
      <w:r>
        <w:rPr>
          <w:rFonts w:hint="eastAsia"/>
        </w:rPr>
        <w:t>3</w:t>
      </w:r>
      <w:r>
        <w:t>人。</w:t>
      </w:r>
    </w:p>
    <w:p>
      <w:pPr>
        <w:ind w:firstLine="480"/>
        <w:rPr>
          <w:rFonts w:cs="Times New Roman"/>
        </w:rPr>
      </w:pPr>
      <w:r>
        <w:rPr>
          <w:rFonts w:cs="Times New Roman"/>
        </w:rPr>
        <w:t>环境管理机构和制度建设情况见表</w:t>
      </w:r>
      <w:r>
        <w:rPr>
          <w:rFonts w:hint="eastAsia" w:cs="Times New Roman"/>
        </w:rPr>
        <w:t>3.2-1</w:t>
      </w:r>
      <w:r>
        <w:rPr>
          <w:rFonts w:cs="Times New Roman"/>
        </w:rPr>
        <w:t>。</w:t>
      </w:r>
    </w:p>
    <w:p>
      <w:pPr>
        <w:ind w:firstLine="0" w:firstLineChars="0"/>
        <w:jc w:val="center"/>
        <w:rPr>
          <w:rFonts w:eastAsia="黑体" w:cs="Times New Roman"/>
        </w:rPr>
      </w:pPr>
      <w:r>
        <w:rPr>
          <w:rFonts w:eastAsia="黑体" w:cs="Times New Roman"/>
        </w:rPr>
        <w:t>表</w:t>
      </w:r>
      <w:r>
        <w:rPr>
          <w:rFonts w:hint="eastAsia" w:eastAsia="黑体" w:cs="Times New Roman"/>
        </w:rPr>
        <w:t>3.2-1</w:t>
      </w:r>
      <w:r>
        <w:rPr>
          <w:rFonts w:eastAsia="黑体" w:cs="Times New Roman"/>
        </w:rPr>
        <w:t xml:space="preserve">  环境管理机构和制度建设情况</w:t>
      </w:r>
    </w:p>
    <w:tbl>
      <w:tblPr>
        <w:tblStyle w:val="43"/>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526"/>
        <w:gridCol w:w="1276"/>
        <w:gridCol w:w="572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95" w:type="pct"/>
            <w:vAlign w:val="center"/>
          </w:tcPr>
          <w:p>
            <w:pPr>
              <w:spacing w:line="240" w:lineRule="auto"/>
              <w:ind w:firstLine="0" w:firstLineChars="0"/>
              <w:jc w:val="center"/>
              <w:rPr>
                <w:rFonts w:eastAsia="宋体" w:cs="Times New Roman"/>
                <w:sz w:val="21"/>
              </w:rPr>
            </w:pPr>
            <w:r>
              <w:rPr>
                <w:rFonts w:eastAsia="宋体" w:cs="Times New Roman"/>
                <w:sz w:val="21"/>
              </w:rPr>
              <w:t>环保机构名称</w:t>
            </w:r>
          </w:p>
        </w:tc>
        <w:tc>
          <w:tcPr>
            <w:tcW w:w="748" w:type="pct"/>
            <w:vAlign w:val="center"/>
          </w:tcPr>
          <w:p>
            <w:pPr>
              <w:spacing w:line="240" w:lineRule="auto"/>
              <w:ind w:firstLine="0" w:firstLineChars="0"/>
              <w:jc w:val="center"/>
              <w:rPr>
                <w:rFonts w:eastAsia="宋体" w:cs="Times New Roman"/>
                <w:sz w:val="21"/>
              </w:rPr>
            </w:pPr>
            <w:r>
              <w:rPr>
                <w:rFonts w:hint="eastAsia" w:eastAsia="宋体" w:cs="Times New Roman"/>
                <w:sz w:val="21"/>
              </w:rPr>
              <w:t>专职人员</w:t>
            </w:r>
          </w:p>
        </w:tc>
        <w:tc>
          <w:tcPr>
            <w:tcW w:w="3357" w:type="pct"/>
            <w:vAlign w:val="center"/>
          </w:tcPr>
          <w:p>
            <w:pPr>
              <w:spacing w:line="240" w:lineRule="auto"/>
              <w:ind w:firstLine="0" w:firstLineChars="0"/>
              <w:jc w:val="center"/>
              <w:rPr>
                <w:rFonts w:eastAsia="宋体" w:cs="Times New Roman"/>
                <w:sz w:val="21"/>
              </w:rPr>
            </w:pPr>
            <w:r>
              <w:rPr>
                <w:rFonts w:eastAsia="宋体" w:cs="Times New Roman"/>
                <w:sz w:val="21"/>
              </w:rPr>
              <w:t>现有环境管理制度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95" w:type="pct"/>
            <w:vAlign w:val="center"/>
          </w:tcPr>
          <w:p>
            <w:pPr>
              <w:spacing w:before="96" w:after="96" w:line="240" w:lineRule="auto"/>
              <w:ind w:firstLine="0" w:firstLineChars="0"/>
              <w:jc w:val="center"/>
              <w:rPr>
                <w:rFonts w:eastAsia="宋体" w:cs="Times New Roman"/>
                <w:sz w:val="21"/>
              </w:rPr>
            </w:pPr>
            <w:r>
              <w:rPr>
                <w:rFonts w:eastAsia="宋体" w:cs="Times New Roman"/>
                <w:sz w:val="21"/>
              </w:rPr>
              <w:t>安全生产与环境保护处</w:t>
            </w:r>
          </w:p>
        </w:tc>
        <w:tc>
          <w:tcPr>
            <w:tcW w:w="748" w:type="pct"/>
            <w:vAlign w:val="center"/>
          </w:tcPr>
          <w:p>
            <w:pPr>
              <w:spacing w:before="96" w:after="96" w:line="240" w:lineRule="auto"/>
              <w:ind w:firstLine="0" w:firstLineChars="0"/>
              <w:jc w:val="center"/>
              <w:rPr>
                <w:rFonts w:eastAsia="宋体" w:cs="Times New Roman"/>
                <w:sz w:val="21"/>
              </w:rPr>
            </w:pPr>
            <w:r>
              <w:rPr>
                <w:rFonts w:eastAsia="宋体" w:cs="Times New Roman"/>
                <w:sz w:val="21"/>
              </w:rPr>
              <w:t>3人</w:t>
            </w:r>
          </w:p>
        </w:tc>
        <w:tc>
          <w:tcPr>
            <w:tcW w:w="3357" w:type="pct"/>
            <w:vAlign w:val="center"/>
          </w:tcPr>
          <w:p>
            <w:pPr>
              <w:spacing w:before="96" w:after="96" w:line="240" w:lineRule="auto"/>
              <w:ind w:firstLine="0" w:firstLineChars="0"/>
              <w:rPr>
                <w:rFonts w:eastAsia="宋体" w:cs="Times New Roman"/>
                <w:sz w:val="21"/>
              </w:rPr>
            </w:pPr>
            <w:r>
              <w:rPr>
                <w:rFonts w:eastAsia="宋体" w:cs="Times New Roman"/>
                <w:sz w:val="21"/>
              </w:rPr>
              <w:t>《</w:t>
            </w:r>
            <w:r>
              <w:rPr>
                <w:rFonts w:hint="eastAsia" w:eastAsia="宋体" w:cs="Times New Roman"/>
                <w:sz w:val="21"/>
              </w:rPr>
              <w:t>珲春紫金矿业有限公司环境信息披露管理制度</w:t>
            </w:r>
            <w:r>
              <w:rPr>
                <w:rFonts w:eastAsia="宋体" w:cs="Times New Roman"/>
                <w:sz w:val="21"/>
              </w:rPr>
              <w:t>》、《</w:t>
            </w:r>
            <w:r>
              <w:rPr>
                <w:rFonts w:hint="eastAsia" w:eastAsia="宋体" w:cs="Times New Roman"/>
                <w:sz w:val="21"/>
              </w:rPr>
              <w:t>珲春紫金矿业有限公司排污许可证执行报告制度</w:t>
            </w:r>
            <w:r>
              <w:rPr>
                <w:rFonts w:eastAsia="宋体" w:cs="Times New Roman"/>
                <w:sz w:val="21"/>
              </w:rPr>
              <w:t>》、《</w:t>
            </w:r>
            <w:r>
              <w:rPr>
                <w:rFonts w:hint="eastAsia" w:eastAsia="宋体" w:cs="Times New Roman"/>
                <w:sz w:val="21"/>
              </w:rPr>
              <w:t>珲春紫金矿业有限公司环境管理台账记录制度</w:t>
            </w:r>
            <w:r>
              <w:rPr>
                <w:rFonts w:eastAsia="宋体" w:cs="Times New Roman"/>
                <w:sz w:val="21"/>
              </w:rPr>
              <w:t>》、《</w:t>
            </w:r>
            <w:r>
              <w:rPr>
                <w:rFonts w:hint="eastAsia" w:eastAsia="宋体" w:cs="Times New Roman"/>
                <w:sz w:val="21"/>
              </w:rPr>
              <w:t>珲春紫金矿业有限公司危险废物管理制度</w:t>
            </w:r>
            <w:r>
              <w:rPr>
                <w:rFonts w:eastAsia="宋体" w:cs="Times New Roman"/>
                <w:sz w:val="21"/>
              </w:rPr>
              <w:t>》、《</w:t>
            </w:r>
            <w:r>
              <w:rPr>
                <w:rFonts w:hint="eastAsia" w:eastAsia="宋体" w:cs="Times New Roman"/>
                <w:sz w:val="21"/>
              </w:rPr>
              <w:t>珲春紫金矿业有限公司危险废物污染环境防治责任制度</w:t>
            </w:r>
            <w:r>
              <w:rPr>
                <w:rFonts w:eastAsia="宋体" w:cs="Times New Roman"/>
                <w:sz w:val="21"/>
              </w:rPr>
              <w:t>》、《</w:t>
            </w:r>
            <w:r>
              <w:rPr>
                <w:rFonts w:hint="eastAsia" w:eastAsia="宋体" w:cs="Times New Roman"/>
                <w:sz w:val="21"/>
              </w:rPr>
              <w:t>珲春紫金矿业有限公司绿化工作导则</w:t>
            </w:r>
            <w:r>
              <w:rPr>
                <w:rFonts w:eastAsia="宋体" w:cs="Times New Roman"/>
                <w:sz w:val="21"/>
              </w:rPr>
              <w:t>》、《</w:t>
            </w:r>
            <w:r>
              <w:rPr>
                <w:rFonts w:hint="eastAsia" w:eastAsia="宋体" w:cs="Times New Roman"/>
                <w:sz w:val="21"/>
              </w:rPr>
              <w:t>珲春紫金矿业有限公司土壤污染隐患排查制度</w:t>
            </w:r>
            <w:r>
              <w:rPr>
                <w:rFonts w:eastAsia="宋体" w:cs="Times New Roman"/>
                <w:sz w:val="21"/>
              </w:rPr>
              <w:t>》、《</w:t>
            </w:r>
            <w:r>
              <w:rPr>
                <w:rFonts w:hint="eastAsia" w:eastAsia="宋体" w:cs="Times New Roman"/>
                <w:sz w:val="21"/>
              </w:rPr>
              <w:t>珲春紫金矿业有限公司辐射安全与防护管理制度</w:t>
            </w:r>
            <w:r>
              <w:rPr>
                <w:rFonts w:eastAsia="宋体" w:cs="Times New Roman"/>
                <w:sz w:val="21"/>
              </w:rPr>
              <w:t>》、《</w:t>
            </w:r>
            <w:r>
              <w:rPr>
                <w:rFonts w:hint="eastAsia" w:eastAsia="宋体" w:cs="Times New Roman"/>
                <w:sz w:val="21"/>
              </w:rPr>
              <w:t>珲春紫金矿业有限公司放射性同位素安全管理制度</w:t>
            </w:r>
            <w:r>
              <w:rPr>
                <w:rFonts w:eastAsia="宋体" w:cs="Times New Roman"/>
                <w:sz w:val="21"/>
              </w:rPr>
              <w:t>》、《</w:t>
            </w:r>
            <w:r>
              <w:rPr>
                <w:rFonts w:hint="eastAsia" w:eastAsia="宋体" w:cs="Times New Roman"/>
                <w:sz w:val="21"/>
              </w:rPr>
              <w:t>珲春紫金矿业有限公司环保生态检查管理规定</w:t>
            </w:r>
            <w:r>
              <w:rPr>
                <w:rFonts w:eastAsia="宋体" w:cs="Times New Roman"/>
                <w:sz w:val="21"/>
              </w:rPr>
              <w:t>》</w:t>
            </w:r>
            <w:r>
              <w:rPr>
                <w:rFonts w:hint="eastAsia" w:eastAsia="宋体" w:cs="Times New Roman"/>
                <w:sz w:val="21"/>
              </w:rPr>
              <w:t>。</w:t>
            </w:r>
          </w:p>
        </w:tc>
      </w:tr>
    </w:tbl>
    <w:p>
      <w:pPr>
        <w:pStyle w:val="3"/>
        <w:rPr>
          <w:rFonts w:cs="Times New Roman"/>
          <w:szCs w:val="28"/>
        </w:rPr>
      </w:pPr>
      <w:bookmarkStart w:id="54" w:name="_Toc97540952"/>
      <w:bookmarkStart w:id="55" w:name="_Toc127266644"/>
      <w:r>
        <w:rPr>
          <w:rFonts w:cs="Times New Roman"/>
          <w:szCs w:val="28"/>
        </w:rPr>
        <w:t>3.3 生产经营情况</w:t>
      </w:r>
      <w:bookmarkEnd w:id="53"/>
      <w:bookmarkEnd w:id="54"/>
      <w:bookmarkEnd w:id="55"/>
    </w:p>
    <w:p>
      <w:pPr>
        <w:pStyle w:val="4"/>
        <w:rPr>
          <w:rFonts w:cs="Times New Roman"/>
        </w:rPr>
      </w:pPr>
      <w:bookmarkStart w:id="56" w:name="_Toc94185467"/>
      <w:r>
        <w:rPr>
          <w:rFonts w:cs="Times New Roman"/>
        </w:rPr>
        <w:t>3.3.1主要产品</w:t>
      </w:r>
      <w:bookmarkEnd w:id="56"/>
    </w:p>
    <w:p>
      <w:pPr>
        <w:ind w:firstLine="480"/>
        <w:rPr>
          <w:rFonts w:cs="Times New Roman"/>
        </w:rPr>
      </w:pPr>
      <w:r>
        <w:rPr>
          <w:rFonts w:cs="Times New Roman"/>
          <w:kern w:val="0"/>
          <w:szCs w:val="24"/>
        </w:rPr>
        <w:t>202</w:t>
      </w:r>
      <w:r>
        <w:rPr>
          <w:rFonts w:hint="eastAsia" w:cs="Times New Roman"/>
          <w:kern w:val="0"/>
          <w:szCs w:val="24"/>
        </w:rPr>
        <w:t>2</w:t>
      </w:r>
      <w:r>
        <w:rPr>
          <w:rFonts w:cs="Times New Roman"/>
          <w:kern w:val="0"/>
          <w:szCs w:val="24"/>
        </w:rPr>
        <w:t>年</w:t>
      </w:r>
      <w:r>
        <w:rPr>
          <w:rFonts w:hint="eastAsia" w:cs="Times New Roman"/>
        </w:rPr>
        <w:t>曙光金铜矿</w:t>
      </w:r>
      <w:r>
        <w:rPr>
          <w:rFonts w:cs="Times New Roman"/>
          <w:kern w:val="0"/>
          <w:szCs w:val="24"/>
        </w:rPr>
        <w:t>主要产</w:t>
      </w:r>
      <w:r>
        <w:rPr>
          <w:rFonts w:cs="Times New Roman"/>
        </w:rPr>
        <w:t>品及产量见表3.3-1。</w:t>
      </w:r>
    </w:p>
    <w:p>
      <w:pPr>
        <w:ind w:firstLine="0" w:firstLineChars="0"/>
        <w:jc w:val="center"/>
        <w:rPr>
          <w:rFonts w:eastAsia="黑体" w:cs="Times New Roman"/>
        </w:rPr>
      </w:pPr>
      <w:r>
        <w:rPr>
          <w:rFonts w:eastAsia="黑体" w:cs="Times New Roman"/>
        </w:rPr>
        <w:t xml:space="preserve">表3.3-1 </w:t>
      </w:r>
      <w:r>
        <w:rPr>
          <w:rFonts w:hint="eastAsia" w:eastAsia="黑体" w:cs="Times New Roman"/>
        </w:rPr>
        <w:t xml:space="preserve"> </w:t>
      </w:r>
      <w:r>
        <w:rPr>
          <w:rFonts w:eastAsia="黑体" w:cs="Times New Roman"/>
        </w:rPr>
        <w:t>2021年主要产品及产量统计表</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6"/>
        <w:gridCol w:w="2569"/>
        <w:gridCol w:w="2572"/>
        <w:gridCol w:w="25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6" w:type="dxa"/>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序号</w:t>
            </w:r>
          </w:p>
        </w:tc>
        <w:tc>
          <w:tcPr>
            <w:tcW w:w="2569" w:type="dxa"/>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产品名称</w:t>
            </w:r>
          </w:p>
        </w:tc>
        <w:tc>
          <w:tcPr>
            <w:tcW w:w="2572" w:type="dxa"/>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年产量（t）</w:t>
            </w:r>
          </w:p>
        </w:tc>
        <w:tc>
          <w:tcPr>
            <w:tcW w:w="2565" w:type="dxa"/>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矿石处理量（万t）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6" w:type="dxa"/>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1</w:t>
            </w:r>
          </w:p>
        </w:tc>
        <w:tc>
          <w:tcPr>
            <w:tcW w:w="2569" w:type="dxa"/>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金精矿（Au）</w:t>
            </w:r>
          </w:p>
        </w:tc>
        <w:tc>
          <w:tcPr>
            <w:tcW w:w="2572" w:type="dxa"/>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2.219</w:t>
            </w:r>
          </w:p>
        </w:tc>
        <w:tc>
          <w:tcPr>
            <w:tcW w:w="2565" w:type="dxa"/>
            <w:vMerge w:val="restar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1012.43196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6" w:type="dxa"/>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2</w:t>
            </w:r>
          </w:p>
        </w:tc>
        <w:tc>
          <w:tcPr>
            <w:tcW w:w="2569" w:type="dxa"/>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铜精矿（Cu）</w:t>
            </w:r>
          </w:p>
        </w:tc>
        <w:tc>
          <w:tcPr>
            <w:tcW w:w="2572" w:type="dxa"/>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12138.286</w:t>
            </w:r>
          </w:p>
        </w:tc>
        <w:tc>
          <w:tcPr>
            <w:tcW w:w="2565" w:type="dxa"/>
            <w:vMerge w:val="continue"/>
            <w:vAlign w:val="center"/>
          </w:tcPr>
          <w:p>
            <w:pPr>
              <w:adjustRightInd w:val="0"/>
              <w:snapToGrid w:val="0"/>
              <w:spacing w:line="240" w:lineRule="auto"/>
              <w:ind w:firstLine="0" w:firstLineChars="0"/>
              <w:jc w:val="center"/>
              <w:rPr>
                <w:rFonts w:eastAsia="宋体" w:cs="Times New Roman"/>
                <w:sz w:val="21"/>
                <w:szCs w:val="21"/>
              </w:rPr>
            </w:pPr>
          </w:p>
        </w:tc>
      </w:tr>
    </w:tbl>
    <w:p>
      <w:pPr>
        <w:pStyle w:val="4"/>
        <w:rPr>
          <w:rFonts w:cs="Times New Roman"/>
        </w:rPr>
      </w:pPr>
      <w:bookmarkStart w:id="57" w:name="_Toc94185468"/>
      <w:r>
        <w:rPr>
          <w:rFonts w:cs="Times New Roman"/>
        </w:rPr>
        <w:t>3.3.2生产工艺</w:t>
      </w:r>
      <w:bookmarkEnd w:id="57"/>
    </w:p>
    <w:p>
      <w:pPr>
        <w:autoSpaceDE w:val="0"/>
        <w:autoSpaceDN w:val="0"/>
        <w:adjustRightInd w:val="0"/>
        <w:snapToGrid w:val="0"/>
        <w:ind w:firstLine="480"/>
        <w:rPr>
          <w:rFonts w:cs="Times New Roman"/>
          <w:kern w:val="0"/>
          <w:szCs w:val="24"/>
        </w:rPr>
      </w:pPr>
      <w:r>
        <w:rPr>
          <w:rFonts w:hint="eastAsia" w:cs="Times New Roman"/>
          <w:kern w:val="0"/>
          <w:szCs w:val="24"/>
        </w:rPr>
        <w:t>曙光金铜矿分采矿和选矿系统。</w:t>
      </w:r>
    </w:p>
    <w:p>
      <w:pPr>
        <w:autoSpaceDE w:val="0"/>
        <w:autoSpaceDN w:val="0"/>
        <w:adjustRightInd w:val="0"/>
        <w:snapToGrid w:val="0"/>
        <w:ind w:firstLine="480"/>
        <w:rPr>
          <w:rFonts w:cs="Times New Roman"/>
          <w:kern w:val="0"/>
          <w:szCs w:val="24"/>
        </w:rPr>
      </w:pPr>
      <w:r>
        <w:rPr>
          <w:rFonts w:hint="eastAsia"/>
        </w:rPr>
        <w:t>矿区为北山露采场，</w:t>
      </w:r>
      <w:r>
        <w:t>采用单台阶作业，垂直矿体走向布置工作面，采剥工艺为：电铲剥土</w:t>
      </w:r>
      <w:r>
        <w:rPr>
          <w:rFonts w:hint="eastAsia"/>
        </w:rPr>
        <w:t>-</w:t>
      </w:r>
      <w:r>
        <w:t>钻机穿孔</w:t>
      </w:r>
      <w:r>
        <w:rPr>
          <w:rFonts w:hint="eastAsia"/>
        </w:rPr>
        <w:t>-</w:t>
      </w:r>
      <w:r>
        <w:t>2</w:t>
      </w:r>
      <w:r>
        <w:rPr>
          <w:rFonts w:hint="eastAsia"/>
        </w:rPr>
        <w:t>#</w:t>
      </w:r>
      <w:r>
        <w:t>岩石炸药爆破</w:t>
      </w:r>
      <w:r>
        <w:rPr>
          <w:rFonts w:hint="eastAsia"/>
        </w:rPr>
        <w:t>-</w:t>
      </w:r>
      <w:r>
        <w:t>铲车松动</w:t>
      </w:r>
      <w:r>
        <w:rPr>
          <w:rFonts w:hint="eastAsia"/>
        </w:rPr>
        <w:t>-</w:t>
      </w:r>
      <w:r>
        <w:t>前装机装载</w:t>
      </w:r>
      <w:r>
        <w:rPr>
          <w:rFonts w:hint="eastAsia"/>
        </w:rPr>
        <w:t>-</w:t>
      </w:r>
      <w:r>
        <w:t>自卸汽车运输</w:t>
      </w:r>
      <w:r>
        <w:rPr>
          <w:rFonts w:hint="eastAsia"/>
        </w:rPr>
        <w:t>-</w:t>
      </w:r>
      <w:r>
        <w:t>推土机排弃和推矿。</w:t>
      </w:r>
    </w:p>
    <w:p>
      <w:pPr>
        <w:adjustRightInd w:val="0"/>
        <w:snapToGrid w:val="0"/>
        <w:ind w:firstLine="480"/>
      </w:pPr>
      <w:r>
        <w:rPr>
          <w:rFonts w:hint="eastAsia"/>
        </w:rPr>
        <w:t>选矿分三个选厂，其中一选厂日处理废石10000t/d，选矿工艺流程为“三段一闭路碎矿</w:t>
      </w:r>
      <w:r>
        <w:t>+</w:t>
      </w:r>
      <w:r>
        <w:rPr>
          <w:rFonts w:hint="eastAsia"/>
        </w:rPr>
        <w:t>一段球磨二段分级+重选+一粗三扫三精浮选”；二选厂</w:t>
      </w:r>
      <w:r>
        <w:t>生产规模</w:t>
      </w:r>
      <w:r>
        <w:rPr>
          <w:rFonts w:hint="eastAsia"/>
        </w:rPr>
        <w:t>为40</w:t>
      </w:r>
      <w:r>
        <w:t>00t/d</w:t>
      </w:r>
      <w:r>
        <w:rPr>
          <w:rFonts w:hint="eastAsia"/>
        </w:rPr>
        <w:t>，选矿工艺流程为“三段一闭路碎矿</w:t>
      </w:r>
      <w:r>
        <w:t>+</w:t>
      </w:r>
      <w:r>
        <w:rPr>
          <w:rFonts w:hint="eastAsia"/>
        </w:rPr>
        <w:t>一段闭路球磨分级+重选+一粗三扫三精浮选”；</w:t>
      </w:r>
      <w:r>
        <w:t>三选厂生产规模达到9500t/d，选矿工艺流程与二选厂相同</w:t>
      </w:r>
      <w:r>
        <w:rPr>
          <w:rFonts w:hint="eastAsia"/>
        </w:rPr>
        <w:t>。</w:t>
      </w:r>
    </w:p>
    <w:p>
      <w:pPr>
        <w:autoSpaceDE w:val="0"/>
        <w:autoSpaceDN w:val="0"/>
        <w:adjustRightInd w:val="0"/>
        <w:snapToGrid w:val="0"/>
        <w:ind w:firstLine="480"/>
        <w:rPr>
          <w:rFonts w:cs="Times New Roman"/>
          <w:kern w:val="0"/>
          <w:szCs w:val="24"/>
        </w:rPr>
      </w:pPr>
      <w:r>
        <w:rPr>
          <w:rFonts w:hint="eastAsia" w:cs="Times New Roman"/>
          <w:kern w:val="0"/>
          <w:szCs w:val="24"/>
        </w:rPr>
        <w:t>以上生产工艺均</w:t>
      </w:r>
      <w:r>
        <w:rPr>
          <w:rFonts w:cs="Times New Roman"/>
          <w:kern w:val="0"/>
          <w:szCs w:val="24"/>
        </w:rPr>
        <w:t>不属于国家、地方等公布的鼓励类、限制类或淘汰类目录（名录）的情况</w:t>
      </w:r>
      <w:r>
        <w:rPr>
          <w:rFonts w:hint="eastAsia" w:cs="Times New Roman"/>
          <w:kern w:val="0"/>
          <w:szCs w:val="24"/>
        </w:rPr>
        <w:t>。</w:t>
      </w:r>
    </w:p>
    <w:p>
      <w:pPr>
        <w:ind w:firstLine="315" w:firstLineChars="150"/>
        <w:rPr>
          <w:rFonts w:eastAsia="黑体" w:cs="Times New Roman"/>
          <w:kern w:val="0"/>
          <w:sz w:val="21"/>
        </w:rPr>
        <w:sectPr>
          <w:pgSz w:w="11906" w:h="16838"/>
          <w:pgMar w:top="1440" w:right="1797" w:bottom="1440" w:left="1797" w:header="851" w:footer="992" w:gutter="0"/>
          <w:cols w:space="425" w:num="1"/>
          <w:docGrid w:type="lines" w:linePitch="312" w:charSpace="0"/>
        </w:sectPr>
      </w:pPr>
    </w:p>
    <w:p>
      <w:pPr>
        <w:pStyle w:val="2"/>
        <w:spacing w:after="0"/>
        <w:rPr>
          <w:rFonts w:cs="Times New Roman"/>
          <w:sz w:val="30"/>
          <w:szCs w:val="30"/>
        </w:rPr>
      </w:pPr>
      <w:bookmarkStart w:id="58" w:name="_Toc127266645"/>
      <w:bookmarkStart w:id="59" w:name="_Toc94185469"/>
      <w:bookmarkStart w:id="60" w:name="_Toc97540953"/>
      <w:r>
        <w:rPr>
          <w:rFonts w:cs="Times New Roman"/>
          <w:sz w:val="30"/>
          <w:szCs w:val="30"/>
        </w:rPr>
        <w:t>4企业环境管理信息</w:t>
      </w:r>
      <w:bookmarkEnd w:id="58"/>
      <w:bookmarkEnd w:id="59"/>
      <w:bookmarkEnd w:id="60"/>
    </w:p>
    <w:p>
      <w:pPr>
        <w:pStyle w:val="3"/>
        <w:rPr>
          <w:rFonts w:cs="Times New Roman"/>
          <w:szCs w:val="28"/>
        </w:rPr>
      </w:pPr>
      <w:bookmarkStart w:id="61" w:name="_Toc127266646"/>
      <w:bookmarkStart w:id="62" w:name="_Toc94185470"/>
      <w:bookmarkStart w:id="63" w:name="_Toc97540954"/>
      <w:r>
        <w:rPr>
          <w:rFonts w:cs="Times New Roman"/>
          <w:szCs w:val="28"/>
        </w:rPr>
        <w:t>4.1 生态环境行政许可情况</w:t>
      </w:r>
      <w:bookmarkEnd w:id="61"/>
      <w:bookmarkEnd w:id="62"/>
      <w:bookmarkEnd w:id="63"/>
    </w:p>
    <w:p>
      <w:pPr>
        <w:pStyle w:val="4"/>
        <w:rPr>
          <w:rFonts w:cs="Times New Roman"/>
        </w:rPr>
      </w:pPr>
      <w:bookmarkStart w:id="64" w:name="_Toc409074562"/>
      <w:bookmarkStart w:id="65" w:name="_Toc380682325"/>
      <w:bookmarkStart w:id="66" w:name="_Toc94185471"/>
      <w:r>
        <w:rPr>
          <w:rFonts w:cs="Times New Roman"/>
        </w:rPr>
        <w:t>4.1.1建设项目环境影响评价制度执行情况</w:t>
      </w:r>
      <w:bookmarkEnd w:id="64"/>
      <w:bookmarkEnd w:id="65"/>
      <w:bookmarkEnd w:id="66"/>
    </w:p>
    <w:p>
      <w:pPr>
        <w:ind w:firstLine="480"/>
      </w:pPr>
      <w:bookmarkStart w:id="67" w:name="_Toc380682326"/>
      <w:r>
        <w:rPr>
          <w:rFonts w:hint="eastAsia"/>
        </w:rPr>
        <w:t>珲春紫金矿业有限公司曙光金铜矿2022年无新建任何新改扩建项目，项目开展建设项目环境影响评价工作。</w:t>
      </w:r>
    </w:p>
    <w:p>
      <w:pPr>
        <w:ind w:firstLine="480"/>
        <w:rPr>
          <w:rFonts w:cs="Times New Roman"/>
        </w:rPr>
      </w:pPr>
      <w:r>
        <w:rPr>
          <w:rFonts w:hint="eastAsia" w:cs="Times New Roman"/>
        </w:rPr>
        <w:t>曙光金铜矿</w:t>
      </w:r>
      <w:r>
        <w:rPr>
          <w:rFonts w:cs="Times New Roman"/>
        </w:rPr>
        <w:t>环境影响评价和</w:t>
      </w:r>
      <w:r>
        <w:rPr>
          <w:rFonts w:hint="eastAsia" w:cs="Times New Roman"/>
        </w:rPr>
        <w:t>“</w:t>
      </w:r>
      <w:r>
        <w:rPr>
          <w:rFonts w:cs="Times New Roman"/>
        </w:rPr>
        <w:t>三同时</w:t>
      </w:r>
      <w:r>
        <w:rPr>
          <w:rFonts w:hint="eastAsia" w:cs="Times New Roman"/>
        </w:rPr>
        <w:t>”</w:t>
      </w:r>
      <w:r>
        <w:rPr>
          <w:rFonts w:cs="Times New Roman"/>
        </w:rPr>
        <w:t>制度总体执行情况见表4.1-1。</w:t>
      </w:r>
    </w:p>
    <w:p>
      <w:pPr>
        <w:pStyle w:val="4"/>
        <w:rPr>
          <w:rFonts w:cs="Times New Roman"/>
        </w:rPr>
      </w:pPr>
      <w:bookmarkStart w:id="68" w:name="_Toc94185472"/>
      <w:r>
        <w:rPr>
          <w:rFonts w:cs="Times New Roman"/>
        </w:rPr>
        <w:t>4.1.2排污许可制度执行情况</w:t>
      </w:r>
      <w:bookmarkEnd w:id="68"/>
    </w:p>
    <w:p>
      <w:pPr>
        <w:ind w:firstLine="480"/>
        <w:rPr>
          <w:rFonts w:cs="Times New Roman"/>
        </w:rPr>
      </w:pPr>
      <w:r>
        <w:rPr>
          <w:rFonts w:hint="eastAsia" w:cs="Times New Roman"/>
        </w:rPr>
        <w:t>曙光金铜矿</w:t>
      </w:r>
      <w:r>
        <w:rPr>
          <w:rFonts w:cs="Times New Roman"/>
        </w:rPr>
        <w:t>于20</w:t>
      </w:r>
      <w:r>
        <w:rPr>
          <w:rFonts w:hint="eastAsia" w:cs="Times New Roman"/>
        </w:rPr>
        <w:t>20</w:t>
      </w:r>
      <w:r>
        <w:rPr>
          <w:rFonts w:cs="Times New Roman"/>
        </w:rPr>
        <w:t>年</w:t>
      </w:r>
      <w:r>
        <w:rPr>
          <w:rFonts w:hint="eastAsia" w:cs="Times New Roman"/>
        </w:rPr>
        <w:t>7</w:t>
      </w:r>
      <w:r>
        <w:rPr>
          <w:rFonts w:cs="Times New Roman"/>
        </w:rPr>
        <w:t>月</w:t>
      </w:r>
      <w:r>
        <w:rPr>
          <w:rFonts w:hint="eastAsia" w:cs="Times New Roman"/>
        </w:rPr>
        <w:t>5</w:t>
      </w:r>
      <w:r>
        <w:rPr>
          <w:rFonts w:cs="Times New Roman"/>
        </w:rPr>
        <w:t>日首次申请取得了排污许可证</w:t>
      </w:r>
      <w:r>
        <w:rPr>
          <w:rFonts w:hint="eastAsia" w:cs="Times New Roman"/>
        </w:rPr>
        <w:t>（延边朝鲜族自治州生态环境局核发）</w:t>
      </w:r>
      <w:r>
        <w:rPr>
          <w:rFonts w:cs="Times New Roman"/>
        </w:rPr>
        <w:t>，证书编号：</w:t>
      </w:r>
      <w:r>
        <w:rPr>
          <w:rFonts w:hint="eastAsia" w:cs="Times New Roman"/>
        </w:rPr>
        <w:t>91222404753606947L001W。</w:t>
      </w:r>
    </w:p>
    <w:p>
      <w:pPr>
        <w:ind w:firstLine="480"/>
        <w:rPr>
          <w:rFonts w:cs="Times New Roman"/>
        </w:rPr>
      </w:pPr>
      <w:r>
        <w:rPr>
          <w:rFonts w:hint="eastAsia" w:cs="Times New Roman"/>
        </w:rPr>
        <w:t>2022年8月，曙光金铜矿在排污许可证中补充固体废物管理信息和危险废物种类，办理了排污许可变更业务，变更后证书编号和有效期不变。</w:t>
      </w:r>
    </w:p>
    <w:p>
      <w:pPr>
        <w:autoSpaceDE w:val="0"/>
        <w:autoSpaceDN w:val="0"/>
        <w:ind w:firstLine="480" w:firstLineChars="0"/>
        <w:rPr>
          <w:rFonts w:cs="Times New Roman"/>
        </w:rPr>
      </w:pPr>
      <w:r>
        <w:rPr>
          <w:rFonts w:cs="Times New Roman"/>
        </w:rPr>
        <w:t>具体情况见表4.1-2。</w:t>
      </w:r>
    </w:p>
    <w:p>
      <w:pPr>
        <w:ind w:firstLine="0" w:firstLineChars="0"/>
        <w:jc w:val="center"/>
        <w:rPr>
          <w:rFonts w:eastAsia="黑体" w:cs="Times New Roman"/>
        </w:rPr>
      </w:pPr>
      <w:r>
        <w:rPr>
          <w:rFonts w:eastAsia="黑体" w:cs="Times New Roman"/>
        </w:rPr>
        <w:t xml:space="preserve">表4.1-2 </w:t>
      </w:r>
      <w:r>
        <w:rPr>
          <w:rFonts w:hint="eastAsia" w:eastAsia="黑体" w:cs="Times New Roman"/>
        </w:rPr>
        <w:t xml:space="preserve"> </w:t>
      </w:r>
      <w:r>
        <w:rPr>
          <w:rFonts w:eastAsia="黑体" w:cs="Times New Roman"/>
        </w:rPr>
        <w:t>有效期内排污许可变更/延续情况</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1354"/>
        <w:gridCol w:w="1393"/>
        <w:gridCol w:w="1434"/>
        <w:gridCol w:w="1788"/>
        <w:gridCol w:w="2559"/>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4"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序号</w:t>
            </w:r>
          </w:p>
        </w:tc>
        <w:tc>
          <w:tcPr>
            <w:tcW w:w="817"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类型</w:t>
            </w:r>
          </w:p>
        </w:tc>
        <w:tc>
          <w:tcPr>
            <w:tcW w:w="841" w:type="pct"/>
            <w:tcBorders>
              <w:right w:val="single" w:color="auto" w:sz="4" w:space="0"/>
            </w:tcBorders>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版本</w:t>
            </w:r>
          </w:p>
        </w:tc>
        <w:tc>
          <w:tcPr>
            <w:tcW w:w="1048" w:type="pct"/>
            <w:tcBorders>
              <w:left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办结日期</w:t>
            </w:r>
          </w:p>
        </w:tc>
        <w:tc>
          <w:tcPr>
            <w:tcW w:w="1500" w:type="pct"/>
            <w:tcBorders>
              <w:left w:val="single" w:color="auto" w:sz="4" w:space="0"/>
            </w:tcBorders>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有效期</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4"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1</w:t>
            </w:r>
          </w:p>
        </w:tc>
        <w:tc>
          <w:tcPr>
            <w:tcW w:w="817"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申领</w:t>
            </w:r>
          </w:p>
        </w:tc>
        <w:tc>
          <w:tcPr>
            <w:tcW w:w="841" w:type="pct"/>
            <w:tcBorders>
              <w:right w:val="single" w:color="auto" w:sz="4" w:space="0"/>
            </w:tcBorders>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1</w:t>
            </w:r>
          </w:p>
        </w:tc>
        <w:tc>
          <w:tcPr>
            <w:tcW w:w="1048" w:type="pct"/>
            <w:tcBorders>
              <w:left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2020.07.05</w:t>
            </w:r>
          </w:p>
        </w:tc>
        <w:tc>
          <w:tcPr>
            <w:tcW w:w="1500" w:type="pct"/>
            <w:tcBorders>
              <w:left w:val="single" w:color="auto" w:sz="4" w:space="0"/>
            </w:tcBorders>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2020.07.05-2023.07.04</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4" w:type="pct"/>
            <w:vAlign w:val="center"/>
          </w:tcPr>
          <w:p>
            <w:pPr>
              <w:adjustRightInd w:val="0"/>
              <w:snapToGrid w:val="0"/>
              <w:spacing w:line="240" w:lineRule="auto"/>
              <w:ind w:firstLine="0" w:firstLineChars="0"/>
              <w:jc w:val="center"/>
              <w:rPr>
                <w:rFonts w:eastAsia="宋体" w:cs="Times New Roman"/>
                <w:sz w:val="21"/>
                <w:szCs w:val="21"/>
              </w:rPr>
            </w:pPr>
            <w:r>
              <w:rPr>
                <w:rFonts w:hint="eastAsia" w:eastAsia="宋体" w:cs="Times New Roman"/>
                <w:sz w:val="21"/>
                <w:szCs w:val="21"/>
              </w:rPr>
              <w:t>2</w:t>
            </w:r>
          </w:p>
        </w:tc>
        <w:tc>
          <w:tcPr>
            <w:tcW w:w="817" w:type="pct"/>
            <w:vAlign w:val="center"/>
          </w:tcPr>
          <w:p>
            <w:pPr>
              <w:adjustRightInd w:val="0"/>
              <w:snapToGrid w:val="0"/>
              <w:spacing w:line="240" w:lineRule="auto"/>
              <w:ind w:firstLine="0" w:firstLineChars="0"/>
              <w:jc w:val="center"/>
              <w:rPr>
                <w:rFonts w:eastAsia="宋体" w:cs="Times New Roman"/>
                <w:sz w:val="21"/>
                <w:szCs w:val="21"/>
              </w:rPr>
            </w:pPr>
            <w:r>
              <w:rPr>
                <w:rFonts w:hint="eastAsia" w:eastAsia="宋体" w:cs="Times New Roman"/>
                <w:sz w:val="21"/>
                <w:szCs w:val="21"/>
              </w:rPr>
              <w:t>变更</w:t>
            </w:r>
          </w:p>
        </w:tc>
        <w:tc>
          <w:tcPr>
            <w:tcW w:w="841" w:type="pct"/>
            <w:tcBorders>
              <w:right w:val="single" w:color="auto" w:sz="4" w:space="0"/>
            </w:tcBorders>
            <w:vAlign w:val="center"/>
          </w:tcPr>
          <w:p>
            <w:pPr>
              <w:adjustRightInd w:val="0"/>
              <w:snapToGrid w:val="0"/>
              <w:spacing w:line="240" w:lineRule="auto"/>
              <w:ind w:firstLine="0" w:firstLineChars="0"/>
              <w:jc w:val="center"/>
              <w:rPr>
                <w:rFonts w:eastAsia="宋体" w:cs="Times New Roman"/>
                <w:sz w:val="21"/>
                <w:szCs w:val="21"/>
              </w:rPr>
            </w:pPr>
            <w:r>
              <w:rPr>
                <w:rFonts w:hint="eastAsia" w:eastAsia="宋体" w:cs="Times New Roman"/>
                <w:sz w:val="21"/>
                <w:szCs w:val="21"/>
              </w:rPr>
              <w:t>2</w:t>
            </w:r>
          </w:p>
        </w:tc>
        <w:tc>
          <w:tcPr>
            <w:tcW w:w="1048" w:type="pct"/>
            <w:tcBorders>
              <w:left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sz w:val="21"/>
                <w:szCs w:val="21"/>
              </w:rPr>
            </w:pPr>
            <w:r>
              <w:rPr>
                <w:rFonts w:hint="eastAsia" w:eastAsia="宋体" w:cs="Times New Roman"/>
                <w:sz w:val="21"/>
                <w:szCs w:val="21"/>
              </w:rPr>
              <w:t>2022.08.02</w:t>
            </w:r>
          </w:p>
        </w:tc>
        <w:tc>
          <w:tcPr>
            <w:tcW w:w="1500" w:type="pct"/>
            <w:tcBorders>
              <w:left w:val="single" w:color="auto" w:sz="4" w:space="0"/>
            </w:tcBorders>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2020.07.05-2023.07.04</w:t>
            </w:r>
          </w:p>
        </w:tc>
      </w:tr>
    </w:tbl>
    <w:p>
      <w:pPr>
        <w:pStyle w:val="4"/>
        <w:rPr>
          <w:rFonts w:cs="Times New Roman"/>
        </w:rPr>
      </w:pPr>
      <w:r>
        <w:rPr>
          <w:rFonts w:cs="Times New Roman"/>
        </w:rPr>
        <w:t>4.1.</w:t>
      </w:r>
      <w:r>
        <w:rPr>
          <w:rFonts w:hint="eastAsia" w:cs="Times New Roman"/>
        </w:rPr>
        <w:t>3辐射安全许可证</w:t>
      </w:r>
      <w:r>
        <w:rPr>
          <w:rFonts w:cs="Times New Roman"/>
        </w:rPr>
        <w:t>执行情况</w:t>
      </w:r>
    </w:p>
    <w:p>
      <w:pPr>
        <w:ind w:firstLine="480"/>
        <w:rPr>
          <w:rFonts w:cs="Times New Roman"/>
        </w:rPr>
      </w:pPr>
      <w:r>
        <w:rPr>
          <w:rFonts w:hint="eastAsia" w:cs="Times New Roman"/>
        </w:rPr>
        <w:t>曙光金铜矿</w:t>
      </w:r>
      <w:r>
        <w:rPr>
          <w:rFonts w:cs="Times New Roman"/>
        </w:rPr>
        <w:t>于</w:t>
      </w:r>
      <w:r>
        <w:rPr>
          <w:rFonts w:hint="eastAsia" w:cs="Times New Roman"/>
        </w:rPr>
        <w:t>2020年5月6日完成</w:t>
      </w:r>
      <w:r>
        <w:rPr>
          <w:rFonts w:hint="eastAsia"/>
        </w:rPr>
        <w:t>珲春紫金矿业有限公司</w:t>
      </w:r>
      <w:r>
        <w:rPr>
          <w:rFonts w:hint="eastAsia" w:cs="Times New Roman"/>
        </w:rPr>
        <w:t>辐射安全许可证申领（延边朝鲜族自治州生态环境局核发）</w:t>
      </w:r>
      <w:r>
        <w:rPr>
          <w:rFonts w:cs="Times New Roman"/>
        </w:rPr>
        <w:t>，证书编号：</w:t>
      </w:r>
      <w:r>
        <w:rPr>
          <w:rFonts w:hint="eastAsia" w:cs="Times New Roman"/>
        </w:rPr>
        <w:t>吉环辐证[00116</w:t>
      </w:r>
      <w:r>
        <w:rPr>
          <w:rFonts w:cs="Times New Roman"/>
        </w:rPr>
        <w:t>]，</w:t>
      </w:r>
      <w:r>
        <w:rPr>
          <w:rFonts w:hint="eastAsia" w:cs="Times New Roman"/>
        </w:rPr>
        <w:t>获准在选矿厂内使用IV类放射源，有效期至2023年6月18日。2022年，曙光金铜矿未办理辐射安全许可变更业务。</w:t>
      </w:r>
    </w:p>
    <w:p>
      <w:pPr>
        <w:ind w:firstLine="480"/>
        <w:rPr>
          <w:rFonts w:cs="Times New Roman"/>
        </w:rPr>
      </w:pPr>
    </w:p>
    <w:p>
      <w:pPr>
        <w:ind w:firstLine="480"/>
        <w:rPr>
          <w:rFonts w:cs="Times New Roman"/>
        </w:rPr>
      </w:pPr>
    </w:p>
    <w:p>
      <w:pPr>
        <w:ind w:firstLine="480"/>
        <w:rPr>
          <w:rFonts w:cs="Times New Roman"/>
        </w:rPr>
        <w:sectPr>
          <w:pgSz w:w="11906" w:h="16838"/>
          <w:pgMar w:top="1440" w:right="1797" w:bottom="1440" w:left="1797" w:header="851" w:footer="992" w:gutter="0"/>
          <w:cols w:space="425" w:num="1"/>
          <w:docGrid w:type="lines" w:linePitch="312" w:charSpace="0"/>
        </w:sectPr>
      </w:pPr>
    </w:p>
    <w:p>
      <w:pPr>
        <w:ind w:firstLine="0" w:firstLineChars="0"/>
        <w:jc w:val="center"/>
        <w:rPr>
          <w:rFonts w:eastAsia="黑体" w:cs="Times New Roman"/>
        </w:rPr>
      </w:pPr>
      <w:r>
        <w:rPr>
          <w:rFonts w:eastAsia="黑体" w:cs="Times New Roman"/>
        </w:rPr>
        <w:t xml:space="preserve">表4.1-1 </w:t>
      </w:r>
      <w:r>
        <w:rPr>
          <w:rFonts w:hint="eastAsia" w:eastAsia="黑体" w:cs="Times New Roman"/>
        </w:rPr>
        <w:t xml:space="preserve"> 曙光金铜矿</w:t>
      </w:r>
      <w:r>
        <w:rPr>
          <w:rFonts w:eastAsia="黑体" w:cs="Times New Roman"/>
        </w:rPr>
        <w:t>环境影响评价和“三同时”制度执行情况</w:t>
      </w:r>
    </w:p>
    <w:tbl>
      <w:tblPr>
        <w:tblStyle w:val="43"/>
        <w:tblW w:w="503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49"/>
        <w:gridCol w:w="1928"/>
        <w:gridCol w:w="708"/>
        <w:gridCol w:w="991"/>
        <w:gridCol w:w="143"/>
        <w:gridCol w:w="1134"/>
        <w:gridCol w:w="143"/>
        <w:gridCol w:w="1134"/>
        <w:gridCol w:w="3116"/>
        <w:gridCol w:w="1000"/>
        <w:gridCol w:w="1134"/>
        <w:gridCol w:w="1131"/>
        <w:gridCol w:w="12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blHeader/>
        </w:trPr>
        <w:tc>
          <w:tcPr>
            <w:tcW w:w="157" w:type="pct"/>
            <w:vMerge w:val="restar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序号</w:t>
            </w:r>
          </w:p>
        </w:tc>
        <w:tc>
          <w:tcPr>
            <w:tcW w:w="675" w:type="pct"/>
            <w:vMerge w:val="restar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生产线</w:t>
            </w:r>
          </w:p>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名称</w:t>
            </w:r>
          </w:p>
        </w:tc>
        <w:tc>
          <w:tcPr>
            <w:tcW w:w="248" w:type="pct"/>
            <w:vMerge w:val="restar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运行</w:t>
            </w:r>
          </w:p>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状态</w:t>
            </w:r>
          </w:p>
        </w:tc>
        <w:tc>
          <w:tcPr>
            <w:tcW w:w="2332" w:type="pct"/>
            <w:gridSpan w:val="6"/>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环境影响评价</w:t>
            </w:r>
          </w:p>
        </w:tc>
        <w:tc>
          <w:tcPr>
            <w:tcW w:w="350" w:type="pct"/>
            <w:vMerge w:val="restar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投入运行时间</w:t>
            </w:r>
          </w:p>
        </w:tc>
        <w:tc>
          <w:tcPr>
            <w:tcW w:w="1238" w:type="pct"/>
            <w:gridSpan w:val="3"/>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竣工环境保护验收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7" w:hRule="atLeast"/>
          <w:tblHeader/>
        </w:trPr>
        <w:tc>
          <w:tcPr>
            <w:tcW w:w="157" w:type="pct"/>
            <w:vMerge w:val="continue"/>
            <w:vAlign w:val="center"/>
          </w:tcPr>
          <w:p>
            <w:pPr>
              <w:adjustRightInd w:val="0"/>
              <w:snapToGrid w:val="0"/>
              <w:spacing w:line="240" w:lineRule="auto"/>
              <w:ind w:firstLine="0" w:firstLineChars="0"/>
              <w:jc w:val="center"/>
              <w:rPr>
                <w:rFonts w:eastAsia="宋体" w:cs="Times New Roman"/>
                <w:sz w:val="21"/>
                <w:szCs w:val="21"/>
              </w:rPr>
            </w:pPr>
          </w:p>
        </w:tc>
        <w:tc>
          <w:tcPr>
            <w:tcW w:w="675" w:type="pct"/>
            <w:vMerge w:val="continue"/>
            <w:vAlign w:val="center"/>
          </w:tcPr>
          <w:p>
            <w:pPr>
              <w:adjustRightInd w:val="0"/>
              <w:snapToGrid w:val="0"/>
              <w:spacing w:line="240" w:lineRule="auto"/>
              <w:ind w:firstLine="0" w:firstLineChars="0"/>
              <w:jc w:val="center"/>
              <w:rPr>
                <w:rFonts w:eastAsia="宋体" w:cs="Times New Roman"/>
                <w:sz w:val="21"/>
                <w:szCs w:val="21"/>
              </w:rPr>
            </w:pPr>
          </w:p>
        </w:tc>
        <w:tc>
          <w:tcPr>
            <w:tcW w:w="248" w:type="pct"/>
            <w:vMerge w:val="continue"/>
            <w:vAlign w:val="center"/>
          </w:tcPr>
          <w:p>
            <w:pPr>
              <w:adjustRightInd w:val="0"/>
              <w:snapToGrid w:val="0"/>
              <w:spacing w:line="240" w:lineRule="auto"/>
              <w:ind w:firstLine="0" w:firstLineChars="0"/>
              <w:jc w:val="center"/>
              <w:rPr>
                <w:rFonts w:eastAsia="宋体" w:cs="Times New Roman"/>
                <w:sz w:val="21"/>
                <w:szCs w:val="21"/>
              </w:rPr>
            </w:pPr>
          </w:p>
        </w:tc>
        <w:tc>
          <w:tcPr>
            <w:tcW w:w="347"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审批部门</w:t>
            </w:r>
          </w:p>
        </w:tc>
        <w:tc>
          <w:tcPr>
            <w:tcW w:w="447" w:type="pct"/>
            <w:gridSpan w:val="2"/>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批准文号</w:t>
            </w:r>
          </w:p>
        </w:tc>
        <w:tc>
          <w:tcPr>
            <w:tcW w:w="447" w:type="pct"/>
            <w:gridSpan w:val="2"/>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批准时间</w:t>
            </w:r>
          </w:p>
        </w:tc>
        <w:tc>
          <w:tcPr>
            <w:tcW w:w="1091"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主要许可事项</w:t>
            </w:r>
          </w:p>
        </w:tc>
        <w:tc>
          <w:tcPr>
            <w:tcW w:w="350" w:type="pct"/>
            <w:vMerge w:val="continue"/>
            <w:vAlign w:val="center"/>
          </w:tcPr>
          <w:p>
            <w:pPr>
              <w:adjustRightInd w:val="0"/>
              <w:snapToGrid w:val="0"/>
              <w:spacing w:line="240" w:lineRule="auto"/>
              <w:ind w:firstLine="0" w:firstLineChars="0"/>
              <w:jc w:val="center"/>
              <w:rPr>
                <w:rFonts w:eastAsia="宋体" w:cs="Times New Roman"/>
                <w:sz w:val="21"/>
                <w:szCs w:val="21"/>
              </w:rPr>
            </w:pPr>
          </w:p>
        </w:tc>
        <w:tc>
          <w:tcPr>
            <w:tcW w:w="397"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审批部门</w:t>
            </w:r>
          </w:p>
        </w:tc>
        <w:tc>
          <w:tcPr>
            <w:tcW w:w="396"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批准文号</w:t>
            </w:r>
          </w:p>
        </w:tc>
        <w:tc>
          <w:tcPr>
            <w:tcW w:w="445"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批准时间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0" w:hRule="atLeast"/>
          <w:tblHeader/>
        </w:trPr>
        <w:tc>
          <w:tcPr>
            <w:tcW w:w="157"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1</w:t>
            </w:r>
          </w:p>
        </w:tc>
        <w:tc>
          <w:tcPr>
            <w:tcW w:w="675" w:type="pct"/>
            <w:vAlign w:val="center"/>
          </w:tcPr>
          <w:p>
            <w:pPr>
              <w:adjustRightInd w:val="0"/>
              <w:snapToGrid w:val="0"/>
              <w:spacing w:line="240" w:lineRule="auto"/>
              <w:ind w:firstLine="0" w:firstLineChars="0"/>
              <w:jc w:val="center"/>
              <w:rPr>
                <w:rFonts w:eastAsia="宋体" w:cs="Times New Roman"/>
                <w:kern w:val="0"/>
                <w:sz w:val="21"/>
                <w:szCs w:val="21"/>
              </w:rPr>
            </w:pPr>
            <w:r>
              <w:rPr>
                <w:rFonts w:eastAsia="宋体" w:cs="Times New Roman"/>
                <w:sz w:val="21"/>
                <w:szCs w:val="21"/>
              </w:rPr>
              <w:t>珲春紫金矿业有限公司4000吨/日金铜选冶改扩建项目（采选部分）</w:t>
            </w:r>
          </w:p>
        </w:tc>
        <w:tc>
          <w:tcPr>
            <w:tcW w:w="248"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运行期</w:t>
            </w:r>
          </w:p>
        </w:tc>
        <w:tc>
          <w:tcPr>
            <w:tcW w:w="347" w:type="pct"/>
            <w:vAlign w:val="center"/>
          </w:tcPr>
          <w:p>
            <w:pPr>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原吉林省环境保护局</w:t>
            </w:r>
          </w:p>
        </w:tc>
        <w:tc>
          <w:tcPr>
            <w:tcW w:w="447" w:type="pct"/>
            <w:gridSpan w:val="2"/>
            <w:vAlign w:val="center"/>
          </w:tcPr>
          <w:p>
            <w:pPr>
              <w:adjustRightInd w:val="0"/>
              <w:snapToGrid w:val="0"/>
              <w:spacing w:line="240" w:lineRule="auto"/>
              <w:ind w:firstLine="0" w:firstLineChars="0"/>
              <w:jc w:val="center"/>
              <w:rPr>
                <w:rFonts w:eastAsia="宋体" w:cs="Times New Roman"/>
                <w:kern w:val="0"/>
                <w:sz w:val="21"/>
                <w:szCs w:val="21"/>
              </w:rPr>
            </w:pPr>
            <w:r>
              <w:rPr>
                <w:rFonts w:eastAsia="宋体" w:cs="Times New Roman"/>
                <w:snapToGrid w:val="0"/>
                <w:kern w:val="0"/>
                <w:sz w:val="21"/>
                <w:szCs w:val="21"/>
                <w:lang w:val="zh-CN"/>
              </w:rPr>
              <w:t>吉环建字[2004]135号</w:t>
            </w:r>
          </w:p>
        </w:tc>
        <w:tc>
          <w:tcPr>
            <w:tcW w:w="447" w:type="pct"/>
            <w:gridSpan w:val="2"/>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bCs/>
                <w:sz w:val="21"/>
                <w:szCs w:val="21"/>
              </w:rPr>
              <w:t>2004.9.16</w:t>
            </w:r>
          </w:p>
        </w:tc>
        <w:tc>
          <w:tcPr>
            <w:tcW w:w="1091" w:type="pct"/>
            <w:vAlign w:val="center"/>
          </w:tcPr>
          <w:p>
            <w:pPr>
              <w:adjustRightInd w:val="0"/>
              <w:snapToGrid w:val="0"/>
              <w:spacing w:line="240" w:lineRule="auto"/>
              <w:ind w:firstLine="0" w:firstLineChars="0"/>
              <w:rPr>
                <w:rFonts w:eastAsia="宋体" w:cs="Times New Roman"/>
                <w:sz w:val="21"/>
                <w:szCs w:val="21"/>
              </w:rPr>
            </w:pPr>
            <w:r>
              <w:rPr>
                <w:rFonts w:eastAsia="宋体" w:cs="Times New Roman"/>
                <w:sz w:val="21"/>
                <w:szCs w:val="21"/>
              </w:rPr>
              <w:t>在原有850t/d选矿厂东侧新建日处理尾矿4000t/d的选矿厂，形成年采矿石132万t、生产精矿2.97万t的生产能力。</w:t>
            </w:r>
          </w:p>
        </w:tc>
        <w:tc>
          <w:tcPr>
            <w:tcW w:w="350"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2004.8</w:t>
            </w:r>
          </w:p>
        </w:tc>
        <w:tc>
          <w:tcPr>
            <w:tcW w:w="397" w:type="pct"/>
            <w:vAlign w:val="center"/>
          </w:tcPr>
          <w:p>
            <w:pPr>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原吉林省环境保护局</w:t>
            </w:r>
          </w:p>
        </w:tc>
        <w:tc>
          <w:tcPr>
            <w:tcW w:w="396" w:type="pct"/>
            <w:vAlign w:val="center"/>
          </w:tcPr>
          <w:p>
            <w:pPr>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吉环验[2006]21号</w:t>
            </w:r>
          </w:p>
        </w:tc>
        <w:tc>
          <w:tcPr>
            <w:tcW w:w="445"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2006.7.3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98" w:hRule="atLeast"/>
          <w:tblHeader/>
        </w:trPr>
        <w:tc>
          <w:tcPr>
            <w:tcW w:w="157"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2</w:t>
            </w:r>
          </w:p>
        </w:tc>
        <w:tc>
          <w:tcPr>
            <w:tcW w:w="675" w:type="pct"/>
            <w:vAlign w:val="center"/>
          </w:tcPr>
          <w:p>
            <w:pPr>
              <w:adjustRightInd w:val="0"/>
              <w:snapToGrid w:val="0"/>
              <w:spacing w:line="240" w:lineRule="auto"/>
              <w:ind w:firstLine="0" w:firstLineChars="0"/>
              <w:jc w:val="center"/>
              <w:rPr>
                <w:rFonts w:eastAsia="宋体" w:cs="Times New Roman"/>
                <w:kern w:val="0"/>
                <w:sz w:val="21"/>
                <w:szCs w:val="21"/>
              </w:rPr>
            </w:pPr>
            <w:r>
              <w:rPr>
                <w:rFonts w:eastAsia="宋体" w:cs="Times New Roman"/>
                <w:sz w:val="21"/>
                <w:szCs w:val="21"/>
              </w:rPr>
              <w:t>珲春紫金矿业有限公司曙光金铜矿9500t/d改扩建项目</w:t>
            </w:r>
          </w:p>
        </w:tc>
        <w:tc>
          <w:tcPr>
            <w:tcW w:w="248"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运行期</w:t>
            </w:r>
          </w:p>
        </w:tc>
        <w:tc>
          <w:tcPr>
            <w:tcW w:w="347" w:type="pct"/>
            <w:vAlign w:val="center"/>
          </w:tcPr>
          <w:p>
            <w:pPr>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原吉林省环境保护局</w:t>
            </w:r>
          </w:p>
        </w:tc>
        <w:tc>
          <w:tcPr>
            <w:tcW w:w="447" w:type="pct"/>
            <w:gridSpan w:val="2"/>
            <w:vAlign w:val="center"/>
          </w:tcPr>
          <w:p>
            <w:pPr>
              <w:adjustRightInd w:val="0"/>
              <w:snapToGrid w:val="0"/>
              <w:spacing w:line="240" w:lineRule="auto"/>
              <w:ind w:firstLine="0" w:firstLineChars="0"/>
              <w:jc w:val="center"/>
              <w:rPr>
                <w:rFonts w:eastAsia="宋体" w:cs="Times New Roman"/>
                <w:kern w:val="0"/>
                <w:sz w:val="21"/>
                <w:szCs w:val="21"/>
              </w:rPr>
            </w:pPr>
            <w:r>
              <w:rPr>
                <w:rFonts w:eastAsia="宋体" w:cs="Times New Roman"/>
                <w:snapToGrid w:val="0"/>
                <w:kern w:val="0"/>
                <w:sz w:val="21"/>
                <w:szCs w:val="21"/>
                <w:lang w:val="zh-CN"/>
              </w:rPr>
              <w:t>吉环建字[2007]37号</w:t>
            </w:r>
          </w:p>
        </w:tc>
        <w:tc>
          <w:tcPr>
            <w:tcW w:w="447" w:type="pct"/>
            <w:gridSpan w:val="2"/>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bCs/>
                <w:sz w:val="21"/>
                <w:szCs w:val="21"/>
              </w:rPr>
              <w:t>2007.2.14</w:t>
            </w:r>
          </w:p>
        </w:tc>
        <w:tc>
          <w:tcPr>
            <w:tcW w:w="1091" w:type="pct"/>
            <w:vAlign w:val="center"/>
          </w:tcPr>
          <w:p>
            <w:pPr>
              <w:adjustRightInd w:val="0"/>
              <w:snapToGrid w:val="0"/>
              <w:spacing w:line="240" w:lineRule="auto"/>
              <w:ind w:firstLine="0" w:firstLineChars="0"/>
              <w:rPr>
                <w:rFonts w:eastAsia="宋体" w:cs="Times New Roman"/>
                <w:sz w:val="21"/>
                <w:szCs w:val="21"/>
              </w:rPr>
            </w:pPr>
            <w:r>
              <w:rPr>
                <w:rFonts w:eastAsia="宋体" w:cs="Times New Roman"/>
                <w:sz w:val="21"/>
                <w:szCs w:val="21"/>
              </w:rPr>
              <w:t>新增采矿规模为9500t/d，利用改造现有选矿厂新增能力1500t/d，新建选矿厂能力8000t/d。产品为浮选金铜精矿，其中金含量1940.4kg/a，铜含量7524t/a。</w:t>
            </w:r>
          </w:p>
        </w:tc>
        <w:tc>
          <w:tcPr>
            <w:tcW w:w="350"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2008.10</w:t>
            </w:r>
          </w:p>
        </w:tc>
        <w:tc>
          <w:tcPr>
            <w:tcW w:w="397" w:type="pct"/>
            <w:vAlign w:val="center"/>
          </w:tcPr>
          <w:p>
            <w:pPr>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吉林省环境保护厅</w:t>
            </w:r>
          </w:p>
        </w:tc>
        <w:tc>
          <w:tcPr>
            <w:tcW w:w="396" w:type="pct"/>
            <w:vAlign w:val="center"/>
          </w:tcPr>
          <w:p>
            <w:pPr>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吉环行审字[2009]3074号</w:t>
            </w:r>
          </w:p>
        </w:tc>
        <w:tc>
          <w:tcPr>
            <w:tcW w:w="445"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2009.10.20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47" w:hRule="atLeast"/>
          <w:tblHeader/>
        </w:trPr>
        <w:tc>
          <w:tcPr>
            <w:tcW w:w="157"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3</w:t>
            </w:r>
          </w:p>
        </w:tc>
        <w:tc>
          <w:tcPr>
            <w:tcW w:w="675"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珲春紫金矿业有限公司曙光金铜矿废石综合利用项目</w:t>
            </w:r>
          </w:p>
        </w:tc>
        <w:tc>
          <w:tcPr>
            <w:tcW w:w="248"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运行期</w:t>
            </w:r>
          </w:p>
        </w:tc>
        <w:tc>
          <w:tcPr>
            <w:tcW w:w="347" w:type="pct"/>
            <w:vAlign w:val="center"/>
          </w:tcPr>
          <w:p>
            <w:pPr>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吉林省环境保护厅</w:t>
            </w:r>
          </w:p>
        </w:tc>
        <w:tc>
          <w:tcPr>
            <w:tcW w:w="447" w:type="pct"/>
            <w:gridSpan w:val="2"/>
            <w:vAlign w:val="center"/>
          </w:tcPr>
          <w:p>
            <w:pPr>
              <w:adjustRightInd w:val="0"/>
              <w:snapToGrid w:val="0"/>
              <w:spacing w:line="240" w:lineRule="auto"/>
              <w:ind w:firstLine="0" w:firstLineChars="0"/>
              <w:jc w:val="center"/>
              <w:rPr>
                <w:rFonts w:eastAsia="宋体" w:cs="Times New Roman"/>
                <w:snapToGrid w:val="0"/>
                <w:kern w:val="0"/>
                <w:sz w:val="21"/>
                <w:szCs w:val="21"/>
                <w:lang w:val="zh-CN"/>
              </w:rPr>
            </w:pPr>
            <w:r>
              <w:rPr>
                <w:rFonts w:eastAsia="宋体" w:cs="Times New Roman"/>
                <w:snapToGrid w:val="0"/>
                <w:kern w:val="0"/>
                <w:sz w:val="21"/>
                <w:szCs w:val="21"/>
                <w:lang w:val="zh-CN"/>
              </w:rPr>
              <w:t>吉环审字[2012]178号</w:t>
            </w:r>
          </w:p>
        </w:tc>
        <w:tc>
          <w:tcPr>
            <w:tcW w:w="447" w:type="pct"/>
            <w:gridSpan w:val="2"/>
            <w:vAlign w:val="center"/>
          </w:tcPr>
          <w:p>
            <w:pPr>
              <w:adjustRightInd w:val="0"/>
              <w:snapToGrid w:val="0"/>
              <w:spacing w:line="240" w:lineRule="auto"/>
              <w:ind w:firstLine="0" w:firstLineChars="0"/>
              <w:jc w:val="center"/>
              <w:rPr>
                <w:rFonts w:eastAsia="宋体" w:cs="Times New Roman"/>
                <w:bCs/>
                <w:sz w:val="21"/>
                <w:szCs w:val="21"/>
              </w:rPr>
            </w:pPr>
            <w:r>
              <w:rPr>
                <w:rFonts w:eastAsia="宋体" w:cs="Times New Roman"/>
                <w:bCs/>
                <w:sz w:val="21"/>
                <w:szCs w:val="21"/>
              </w:rPr>
              <w:t>2012.7.31</w:t>
            </w:r>
          </w:p>
          <w:p>
            <w:pPr>
              <w:adjustRightInd w:val="0"/>
              <w:snapToGrid w:val="0"/>
              <w:spacing w:line="240" w:lineRule="auto"/>
              <w:ind w:firstLine="0" w:firstLineChars="0"/>
              <w:jc w:val="center"/>
              <w:rPr>
                <w:rFonts w:eastAsia="宋体" w:cs="Times New Roman"/>
                <w:sz w:val="21"/>
                <w:szCs w:val="21"/>
              </w:rPr>
            </w:pPr>
          </w:p>
        </w:tc>
        <w:tc>
          <w:tcPr>
            <w:tcW w:w="1091" w:type="pct"/>
            <w:vAlign w:val="center"/>
          </w:tcPr>
          <w:p>
            <w:pPr>
              <w:adjustRightInd w:val="0"/>
              <w:snapToGrid w:val="0"/>
              <w:spacing w:line="240" w:lineRule="auto"/>
              <w:ind w:firstLine="0" w:firstLineChars="0"/>
              <w:rPr>
                <w:rFonts w:eastAsia="宋体" w:cs="Times New Roman"/>
                <w:sz w:val="21"/>
                <w:szCs w:val="21"/>
              </w:rPr>
            </w:pPr>
            <w:r>
              <w:rPr>
                <w:rFonts w:eastAsia="宋体" w:cs="Times New Roman"/>
                <w:sz w:val="21"/>
                <w:szCs w:val="21"/>
              </w:rPr>
              <w:t>拆除现有处理原矿规模850t/d的一选厂，在原址新建利用北山矿段1号、2号矿体露天采场内当量铜品位0.225~0.30%可综合利用废石及历年采出并保护性堆存的可综合利用废石为原料，废石综合利用规模10000t/d选厂，在矿区现有尾矿库东侧1000m山沟内（与现有尾矿库隔山）新建尾矿库，在矿区的东北处沟谷内新建1#排土场和2#排土场。产品方案为浮选铜金精矿及少量重选合质金，产品外销。</w:t>
            </w:r>
          </w:p>
        </w:tc>
        <w:tc>
          <w:tcPr>
            <w:tcW w:w="350"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2014.11</w:t>
            </w:r>
          </w:p>
        </w:tc>
        <w:tc>
          <w:tcPr>
            <w:tcW w:w="397" w:type="pct"/>
            <w:vAlign w:val="center"/>
          </w:tcPr>
          <w:p>
            <w:pPr>
              <w:autoSpaceDE w:val="0"/>
              <w:autoSpaceDN w:val="0"/>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吉林省环境保护厅</w:t>
            </w:r>
          </w:p>
        </w:tc>
        <w:tc>
          <w:tcPr>
            <w:tcW w:w="396" w:type="pct"/>
            <w:vAlign w:val="center"/>
          </w:tcPr>
          <w:p>
            <w:pPr>
              <w:autoSpaceDE w:val="0"/>
              <w:autoSpaceDN w:val="0"/>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吉环审验字[2017]3号</w:t>
            </w:r>
          </w:p>
        </w:tc>
        <w:tc>
          <w:tcPr>
            <w:tcW w:w="445"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2017.1.5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blHeader/>
        </w:trPr>
        <w:tc>
          <w:tcPr>
            <w:tcW w:w="157" w:type="pct"/>
            <w:vMerge w:val="restar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序号</w:t>
            </w:r>
          </w:p>
        </w:tc>
        <w:tc>
          <w:tcPr>
            <w:tcW w:w="675" w:type="pct"/>
            <w:vMerge w:val="restar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生产线</w:t>
            </w:r>
          </w:p>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名称</w:t>
            </w:r>
          </w:p>
        </w:tc>
        <w:tc>
          <w:tcPr>
            <w:tcW w:w="248" w:type="pct"/>
            <w:vMerge w:val="restar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运行</w:t>
            </w:r>
          </w:p>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状态</w:t>
            </w:r>
          </w:p>
        </w:tc>
        <w:tc>
          <w:tcPr>
            <w:tcW w:w="2332" w:type="pct"/>
            <w:gridSpan w:val="6"/>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环境影响评价</w:t>
            </w:r>
          </w:p>
        </w:tc>
        <w:tc>
          <w:tcPr>
            <w:tcW w:w="350" w:type="pct"/>
            <w:vMerge w:val="restar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投入运行时间</w:t>
            </w:r>
          </w:p>
        </w:tc>
        <w:tc>
          <w:tcPr>
            <w:tcW w:w="1238" w:type="pct"/>
            <w:gridSpan w:val="3"/>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竣工环境保护验收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7" w:hRule="atLeast"/>
          <w:tblHeader/>
        </w:trPr>
        <w:tc>
          <w:tcPr>
            <w:tcW w:w="157" w:type="pct"/>
            <w:vMerge w:val="continue"/>
            <w:vAlign w:val="center"/>
          </w:tcPr>
          <w:p>
            <w:pPr>
              <w:adjustRightInd w:val="0"/>
              <w:snapToGrid w:val="0"/>
              <w:spacing w:line="240" w:lineRule="auto"/>
              <w:ind w:firstLine="0" w:firstLineChars="0"/>
              <w:jc w:val="center"/>
              <w:rPr>
                <w:rFonts w:eastAsia="宋体" w:cs="Times New Roman"/>
                <w:sz w:val="21"/>
                <w:szCs w:val="21"/>
              </w:rPr>
            </w:pPr>
          </w:p>
        </w:tc>
        <w:tc>
          <w:tcPr>
            <w:tcW w:w="675" w:type="pct"/>
            <w:vMerge w:val="continue"/>
            <w:vAlign w:val="center"/>
          </w:tcPr>
          <w:p>
            <w:pPr>
              <w:adjustRightInd w:val="0"/>
              <w:snapToGrid w:val="0"/>
              <w:spacing w:line="240" w:lineRule="auto"/>
              <w:ind w:firstLine="0" w:firstLineChars="0"/>
              <w:jc w:val="center"/>
              <w:rPr>
                <w:rFonts w:eastAsia="宋体" w:cs="Times New Roman"/>
                <w:sz w:val="21"/>
                <w:szCs w:val="21"/>
              </w:rPr>
            </w:pPr>
          </w:p>
        </w:tc>
        <w:tc>
          <w:tcPr>
            <w:tcW w:w="248" w:type="pct"/>
            <w:vMerge w:val="continue"/>
            <w:vAlign w:val="center"/>
          </w:tcPr>
          <w:p>
            <w:pPr>
              <w:adjustRightInd w:val="0"/>
              <w:snapToGrid w:val="0"/>
              <w:spacing w:line="240" w:lineRule="auto"/>
              <w:ind w:firstLine="0" w:firstLineChars="0"/>
              <w:jc w:val="center"/>
              <w:rPr>
                <w:rFonts w:eastAsia="宋体" w:cs="Times New Roman"/>
                <w:sz w:val="21"/>
                <w:szCs w:val="21"/>
              </w:rPr>
            </w:pPr>
          </w:p>
        </w:tc>
        <w:tc>
          <w:tcPr>
            <w:tcW w:w="347"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审批部门</w:t>
            </w:r>
          </w:p>
        </w:tc>
        <w:tc>
          <w:tcPr>
            <w:tcW w:w="447" w:type="pct"/>
            <w:gridSpan w:val="2"/>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批准文号</w:t>
            </w:r>
          </w:p>
        </w:tc>
        <w:tc>
          <w:tcPr>
            <w:tcW w:w="447" w:type="pct"/>
            <w:gridSpan w:val="2"/>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批准时间</w:t>
            </w:r>
          </w:p>
        </w:tc>
        <w:tc>
          <w:tcPr>
            <w:tcW w:w="1091"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主要许可事项</w:t>
            </w:r>
          </w:p>
        </w:tc>
        <w:tc>
          <w:tcPr>
            <w:tcW w:w="350" w:type="pct"/>
            <w:vMerge w:val="continue"/>
            <w:vAlign w:val="center"/>
          </w:tcPr>
          <w:p>
            <w:pPr>
              <w:adjustRightInd w:val="0"/>
              <w:snapToGrid w:val="0"/>
              <w:spacing w:line="240" w:lineRule="auto"/>
              <w:ind w:firstLine="0" w:firstLineChars="0"/>
              <w:jc w:val="center"/>
              <w:rPr>
                <w:rFonts w:eastAsia="宋体" w:cs="Times New Roman"/>
                <w:sz w:val="21"/>
                <w:szCs w:val="21"/>
              </w:rPr>
            </w:pPr>
          </w:p>
        </w:tc>
        <w:tc>
          <w:tcPr>
            <w:tcW w:w="397"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审批部门</w:t>
            </w:r>
          </w:p>
        </w:tc>
        <w:tc>
          <w:tcPr>
            <w:tcW w:w="396"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批准文号</w:t>
            </w:r>
          </w:p>
        </w:tc>
        <w:tc>
          <w:tcPr>
            <w:tcW w:w="445"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批准时间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92" w:hRule="atLeast"/>
          <w:tblHeader/>
        </w:trPr>
        <w:tc>
          <w:tcPr>
            <w:tcW w:w="157" w:type="pct"/>
            <w:vAlign w:val="center"/>
          </w:tcPr>
          <w:p>
            <w:pPr>
              <w:adjustRightInd w:val="0"/>
              <w:snapToGrid w:val="0"/>
              <w:spacing w:line="240" w:lineRule="auto"/>
              <w:ind w:firstLine="0" w:firstLineChars="0"/>
              <w:jc w:val="center"/>
              <w:rPr>
                <w:rFonts w:eastAsia="宋体" w:cs="Times New Roman"/>
                <w:sz w:val="21"/>
                <w:szCs w:val="21"/>
              </w:rPr>
            </w:pPr>
          </w:p>
        </w:tc>
        <w:tc>
          <w:tcPr>
            <w:tcW w:w="675" w:type="pct"/>
            <w:vAlign w:val="center"/>
          </w:tcPr>
          <w:p>
            <w:pPr>
              <w:adjustRightInd w:val="0"/>
              <w:snapToGrid w:val="0"/>
              <w:spacing w:line="240" w:lineRule="auto"/>
              <w:ind w:firstLine="0" w:firstLineChars="0"/>
              <w:jc w:val="center"/>
              <w:rPr>
                <w:rFonts w:eastAsia="宋体" w:cs="Times New Roman"/>
                <w:sz w:val="21"/>
                <w:szCs w:val="21"/>
              </w:rPr>
            </w:pPr>
          </w:p>
        </w:tc>
        <w:tc>
          <w:tcPr>
            <w:tcW w:w="248" w:type="pct"/>
            <w:vAlign w:val="center"/>
          </w:tcPr>
          <w:p>
            <w:pPr>
              <w:adjustRightInd w:val="0"/>
              <w:snapToGrid w:val="0"/>
              <w:spacing w:line="240" w:lineRule="auto"/>
              <w:ind w:firstLine="0" w:firstLineChars="0"/>
              <w:jc w:val="center"/>
              <w:rPr>
                <w:rFonts w:eastAsia="宋体" w:cs="Times New Roman"/>
                <w:sz w:val="21"/>
                <w:szCs w:val="21"/>
              </w:rPr>
            </w:pPr>
          </w:p>
        </w:tc>
        <w:tc>
          <w:tcPr>
            <w:tcW w:w="347" w:type="pct"/>
            <w:vAlign w:val="center"/>
          </w:tcPr>
          <w:p>
            <w:pPr>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吉林省环境保护厅</w:t>
            </w:r>
          </w:p>
        </w:tc>
        <w:tc>
          <w:tcPr>
            <w:tcW w:w="447" w:type="pct"/>
            <w:gridSpan w:val="2"/>
            <w:vAlign w:val="center"/>
          </w:tcPr>
          <w:p>
            <w:pPr>
              <w:adjustRightInd w:val="0"/>
              <w:snapToGrid w:val="0"/>
              <w:spacing w:line="240" w:lineRule="auto"/>
              <w:ind w:firstLine="0" w:firstLineChars="0"/>
              <w:jc w:val="center"/>
              <w:rPr>
                <w:rFonts w:eastAsia="宋体" w:cs="Times New Roman"/>
                <w:snapToGrid w:val="0"/>
                <w:kern w:val="0"/>
                <w:sz w:val="21"/>
                <w:szCs w:val="21"/>
                <w:lang w:val="zh-CN"/>
              </w:rPr>
            </w:pPr>
            <w:r>
              <w:rPr>
                <w:rFonts w:eastAsia="宋体" w:cs="Times New Roman"/>
                <w:snapToGrid w:val="0"/>
                <w:kern w:val="0"/>
                <w:sz w:val="21"/>
                <w:szCs w:val="21"/>
                <w:lang w:val="zh-CN"/>
              </w:rPr>
              <w:t>吉环审字[2013]103号</w:t>
            </w:r>
          </w:p>
        </w:tc>
        <w:tc>
          <w:tcPr>
            <w:tcW w:w="447" w:type="pct"/>
            <w:gridSpan w:val="2"/>
            <w:vAlign w:val="center"/>
          </w:tcPr>
          <w:p>
            <w:pPr>
              <w:adjustRightInd w:val="0"/>
              <w:snapToGrid w:val="0"/>
              <w:spacing w:line="240" w:lineRule="auto"/>
              <w:ind w:firstLine="0" w:firstLineChars="0"/>
              <w:jc w:val="center"/>
              <w:rPr>
                <w:rFonts w:eastAsia="宋体" w:cs="Times New Roman"/>
                <w:bCs/>
                <w:sz w:val="21"/>
                <w:szCs w:val="21"/>
              </w:rPr>
            </w:pPr>
            <w:r>
              <w:rPr>
                <w:rFonts w:eastAsia="宋体" w:cs="Times New Roman"/>
                <w:bCs/>
                <w:sz w:val="21"/>
                <w:szCs w:val="21"/>
              </w:rPr>
              <w:t>2013.5.10</w:t>
            </w:r>
          </w:p>
        </w:tc>
        <w:tc>
          <w:tcPr>
            <w:tcW w:w="1091" w:type="pct"/>
            <w:vAlign w:val="center"/>
          </w:tcPr>
          <w:p>
            <w:pPr>
              <w:adjustRightInd w:val="0"/>
              <w:snapToGrid w:val="0"/>
              <w:spacing w:line="240" w:lineRule="auto"/>
              <w:ind w:firstLine="0" w:firstLineChars="0"/>
              <w:rPr>
                <w:rFonts w:eastAsia="宋体" w:cs="Times New Roman"/>
                <w:sz w:val="21"/>
                <w:szCs w:val="21"/>
              </w:rPr>
            </w:pPr>
            <w:r>
              <w:rPr>
                <w:rFonts w:eastAsia="宋体" w:cs="Times New Roman"/>
                <w:sz w:val="21"/>
                <w:szCs w:val="21"/>
              </w:rPr>
              <w:t>新建尾矿库及排土场由一般固体废物</w:t>
            </w:r>
            <w:r>
              <w:rPr>
                <w:rFonts w:hint="eastAsia" w:ascii="宋体" w:hAnsi="宋体" w:eastAsia="宋体" w:cs="宋体"/>
                <w:sz w:val="21"/>
                <w:szCs w:val="21"/>
              </w:rPr>
              <w:t>Ⅱ</w:t>
            </w:r>
            <w:r>
              <w:rPr>
                <w:rFonts w:eastAsia="宋体" w:cs="Times New Roman"/>
                <w:sz w:val="21"/>
                <w:szCs w:val="21"/>
              </w:rPr>
              <w:t>类场变更为</w:t>
            </w:r>
            <w:r>
              <w:rPr>
                <w:rFonts w:hint="eastAsia" w:ascii="宋体" w:hAnsi="宋体" w:eastAsia="宋体" w:cs="宋体"/>
                <w:sz w:val="21"/>
                <w:szCs w:val="21"/>
              </w:rPr>
              <w:t>Ⅰ</w:t>
            </w:r>
            <w:r>
              <w:rPr>
                <w:rFonts w:eastAsia="宋体" w:cs="Times New Roman"/>
                <w:sz w:val="21"/>
                <w:szCs w:val="21"/>
              </w:rPr>
              <w:t>类场，其他建设内容、环保措施、建设规模和产品方案均保持不变。</w:t>
            </w:r>
          </w:p>
        </w:tc>
        <w:tc>
          <w:tcPr>
            <w:tcW w:w="350" w:type="pct"/>
            <w:vAlign w:val="center"/>
          </w:tcPr>
          <w:p>
            <w:pPr>
              <w:adjustRightInd w:val="0"/>
              <w:snapToGrid w:val="0"/>
              <w:spacing w:line="240" w:lineRule="auto"/>
              <w:ind w:firstLine="0" w:firstLineChars="0"/>
              <w:jc w:val="center"/>
              <w:rPr>
                <w:rFonts w:eastAsia="宋体" w:cs="Times New Roman"/>
                <w:sz w:val="21"/>
                <w:szCs w:val="21"/>
              </w:rPr>
            </w:pPr>
          </w:p>
        </w:tc>
        <w:tc>
          <w:tcPr>
            <w:tcW w:w="397" w:type="pct"/>
            <w:vAlign w:val="center"/>
          </w:tcPr>
          <w:p>
            <w:pPr>
              <w:autoSpaceDE w:val="0"/>
              <w:autoSpaceDN w:val="0"/>
              <w:adjustRightInd w:val="0"/>
              <w:snapToGrid w:val="0"/>
              <w:spacing w:line="240" w:lineRule="auto"/>
              <w:ind w:firstLine="0" w:firstLineChars="0"/>
              <w:jc w:val="center"/>
              <w:rPr>
                <w:rFonts w:eastAsia="宋体" w:cs="Times New Roman"/>
                <w:kern w:val="0"/>
                <w:sz w:val="21"/>
                <w:szCs w:val="21"/>
              </w:rPr>
            </w:pPr>
          </w:p>
        </w:tc>
        <w:tc>
          <w:tcPr>
            <w:tcW w:w="396" w:type="pct"/>
            <w:vAlign w:val="center"/>
          </w:tcPr>
          <w:p>
            <w:pPr>
              <w:autoSpaceDE w:val="0"/>
              <w:autoSpaceDN w:val="0"/>
              <w:adjustRightInd w:val="0"/>
              <w:snapToGrid w:val="0"/>
              <w:spacing w:line="240" w:lineRule="auto"/>
              <w:ind w:firstLine="0" w:firstLineChars="0"/>
              <w:jc w:val="center"/>
              <w:rPr>
                <w:rFonts w:eastAsia="宋体" w:cs="Times New Roman"/>
                <w:kern w:val="0"/>
                <w:sz w:val="21"/>
                <w:szCs w:val="21"/>
              </w:rPr>
            </w:pPr>
          </w:p>
        </w:tc>
        <w:tc>
          <w:tcPr>
            <w:tcW w:w="445" w:type="pct"/>
            <w:vAlign w:val="center"/>
          </w:tcPr>
          <w:p>
            <w:pPr>
              <w:adjustRightInd w:val="0"/>
              <w:snapToGrid w:val="0"/>
              <w:spacing w:line="240" w:lineRule="auto"/>
              <w:ind w:firstLine="0" w:firstLineChars="0"/>
              <w:jc w:val="center"/>
              <w:rPr>
                <w:rFonts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53" w:hRule="atLeast"/>
          <w:tblHeader/>
        </w:trPr>
        <w:tc>
          <w:tcPr>
            <w:tcW w:w="157"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4</w:t>
            </w:r>
          </w:p>
        </w:tc>
        <w:tc>
          <w:tcPr>
            <w:tcW w:w="675"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尾矿浓密输送系统及相关辅助设施改造项目</w:t>
            </w:r>
          </w:p>
        </w:tc>
        <w:tc>
          <w:tcPr>
            <w:tcW w:w="248"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运行期</w:t>
            </w:r>
          </w:p>
        </w:tc>
        <w:tc>
          <w:tcPr>
            <w:tcW w:w="347" w:type="pct"/>
            <w:vAlign w:val="center"/>
          </w:tcPr>
          <w:p>
            <w:pPr>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珲春市环境保护局</w:t>
            </w:r>
          </w:p>
        </w:tc>
        <w:tc>
          <w:tcPr>
            <w:tcW w:w="447" w:type="pct"/>
            <w:gridSpan w:val="2"/>
            <w:vAlign w:val="center"/>
          </w:tcPr>
          <w:p>
            <w:pPr>
              <w:adjustRightInd w:val="0"/>
              <w:snapToGrid w:val="0"/>
              <w:spacing w:line="240" w:lineRule="auto"/>
              <w:ind w:firstLine="0" w:firstLineChars="0"/>
              <w:jc w:val="center"/>
              <w:rPr>
                <w:rFonts w:eastAsia="宋体" w:cs="Times New Roman"/>
                <w:snapToGrid w:val="0"/>
                <w:kern w:val="0"/>
                <w:sz w:val="21"/>
                <w:szCs w:val="21"/>
                <w:lang w:val="zh-CN"/>
              </w:rPr>
            </w:pPr>
            <w:r>
              <w:rPr>
                <w:rFonts w:eastAsia="宋体" w:cs="Times New Roman"/>
                <w:snapToGrid w:val="0"/>
                <w:kern w:val="0"/>
                <w:sz w:val="21"/>
                <w:szCs w:val="21"/>
                <w:lang w:val="zh-CN"/>
              </w:rPr>
              <w:t>珲环建（表）字[201</w:t>
            </w:r>
            <w:r>
              <w:rPr>
                <w:rFonts w:eastAsia="宋体" w:cs="Times New Roman"/>
                <w:snapToGrid w:val="0"/>
                <w:kern w:val="0"/>
                <w:sz w:val="21"/>
                <w:szCs w:val="21"/>
              </w:rPr>
              <w:t>2</w:t>
            </w:r>
            <w:r>
              <w:rPr>
                <w:rFonts w:eastAsia="宋体" w:cs="Times New Roman"/>
                <w:snapToGrid w:val="0"/>
                <w:kern w:val="0"/>
                <w:sz w:val="21"/>
                <w:szCs w:val="21"/>
                <w:lang w:val="zh-CN"/>
              </w:rPr>
              <w:t>]</w:t>
            </w:r>
            <w:r>
              <w:rPr>
                <w:rFonts w:eastAsia="宋体" w:cs="Times New Roman"/>
                <w:snapToGrid w:val="0"/>
                <w:kern w:val="0"/>
                <w:sz w:val="21"/>
                <w:szCs w:val="21"/>
              </w:rPr>
              <w:t>45</w:t>
            </w:r>
            <w:r>
              <w:rPr>
                <w:rFonts w:eastAsia="宋体" w:cs="Times New Roman"/>
                <w:snapToGrid w:val="0"/>
                <w:kern w:val="0"/>
                <w:sz w:val="21"/>
                <w:szCs w:val="21"/>
                <w:lang w:val="zh-CN"/>
              </w:rPr>
              <w:t>号</w:t>
            </w:r>
          </w:p>
        </w:tc>
        <w:tc>
          <w:tcPr>
            <w:tcW w:w="447" w:type="pct"/>
            <w:gridSpan w:val="2"/>
            <w:vAlign w:val="center"/>
          </w:tcPr>
          <w:p>
            <w:pPr>
              <w:adjustRightInd w:val="0"/>
              <w:snapToGrid w:val="0"/>
              <w:spacing w:line="240" w:lineRule="auto"/>
              <w:ind w:firstLine="0" w:firstLineChars="0"/>
              <w:jc w:val="center"/>
              <w:rPr>
                <w:rFonts w:eastAsia="宋体" w:cs="Times New Roman"/>
                <w:bCs/>
                <w:sz w:val="21"/>
                <w:szCs w:val="21"/>
              </w:rPr>
            </w:pPr>
            <w:r>
              <w:rPr>
                <w:rFonts w:eastAsia="宋体" w:cs="Times New Roman"/>
                <w:bCs/>
                <w:sz w:val="21"/>
                <w:szCs w:val="21"/>
              </w:rPr>
              <w:t>2012.11.30</w:t>
            </w:r>
          </w:p>
        </w:tc>
        <w:tc>
          <w:tcPr>
            <w:tcW w:w="1091" w:type="pct"/>
            <w:vAlign w:val="center"/>
          </w:tcPr>
          <w:p>
            <w:pPr>
              <w:adjustRightInd w:val="0"/>
              <w:snapToGrid w:val="0"/>
              <w:spacing w:line="240" w:lineRule="auto"/>
              <w:ind w:firstLine="0" w:firstLineChars="0"/>
              <w:rPr>
                <w:rFonts w:eastAsia="宋体" w:cs="Times New Roman"/>
                <w:sz w:val="21"/>
                <w:szCs w:val="21"/>
              </w:rPr>
            </w:pPr>
            <w:r>
              <w:rPr>
                <w:rFonts w:eastAsia="宋体" w:cs="Times New Roman"/>
                <w:sz w:val="21"/>
                <w:szCs w:val="21"/>
              </w:rPr>
              <w:t>新建一套尾矿浓缩输送系统及相应的供电、供水、采暖、通风等设施。新建尾矿浓缩输送系统处理能力17886.0t/d。</w:t>
            </w:r>
          </w:p>
        </w:tc>
        <w:tc>
          <w:tcPr>
            <w:tcW w:w="350"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2014.12</w:t>
            </w:r>
          </w:p>
        </w:tc>
        <w:tc>
          <w:tcPr>
            <w:tcW w:w="397" w:type="pct"/>
            <w:vAlign w:val="center"/>
          </w:tcPr>
          <w:p>
            <w:pPr>
              <w:autoSpaceDE w:val="0"/>
              <w:autoSpaceDN w:val="0"/>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珲春市环境保护局</w:t>
            </w:r>
          </w:p>
        </w:tc>
        <w:tc>
          <w:tcPr>
            <w:tcW w:w="396" w:type="pct"/>
            <w:vAlign w:val="center"/>
          </w:tcPr>
          <w:p>
            <w:pPr>
              <w:autoSpaceDE w:val="0"/>
              <w:autoSpaceDN w:val="0"/>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w:t>
            </w:r>
          </w:p>
        </w:tc>
        <w:tc>
          <w:tcPr>
            <w:tcW w:w="445"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2014.12.23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88" w:hRule="atLeast"/>
          <w:tblHeader/>
        </w:trPr>
        <w:tc>
          <w:tcPr>
            <w:tcW w:w="157"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5</w:t>
            </w:r>
          </w:p>
        </w:tc>
        <w:tc>
          <w:tcPr>
            <w:tcW w:w="675"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珲春紫金矿业有限公司曙光金铜矿9500t/d尾矿库（标高435m以上部分）排水系统改造项目</w:t>
            </w:r>
          </w:p>
        </w:tc>
        <w:tc>
          <w:tcPr>
            <w:tcW w:w="248"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运行期</w:t>
            </w:r>
          </w:p>
        </w:tc>
        <w:tc>
          <w:tcPr>
            <w:tcW w:w="347" w:type="pct"/>
            <w:vAlign w:val="center"/>
          </w:tcPr>
          <w:p>
            <w:pPr>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珲春市环境保护局</w:t>
            </w:r>
          </w:p>
        </w:tc>
        <w:tc>
          <w:tcPr>
            <w:tcW w:w="447" w:type="pct"/>
            <w:gridSpan w:val="2"/>
            <w:vAlign w:val="center"/>
          </w:tcPr>
          <w:p>
            <w:pPr>
              <w:adjustRightInd w:val="0"/>
              <w:snapToGrid w:val="0"/>
              <w:spacing w:line="240" w:lineRule="auto"/>
              <w:ind w:firstLine="0" w:firstLineChars="0"/>
              <w:jc w:val="center"/>
              <w:rPr>
                <w:rFonts w:eastAsia="宋体" w:cs="Times New Roman"/>
                <w:snapToGrid w:val="0"/>
                <w:kern w:val="0"/>
                <w:sz w:val="21"/>
                <w:szCs w:val="21"/>
                <w:lang w:val="zh-CN"/>
              </w:rPr>
            </w:pPr>
            <w:r>
              <w:rPr>
                <w:rFonts w:eastAsia="宋体" w:cs="Times New Roman"/>
                <w:kern w:val="0"/>
                <w:sz w:val="21"/>
                <w:szCs w:val="21"/>
              </w:rPr>
              <w:t>珲环建（表）字[2013]19号</w:t>
            </w:r>
          </w:p>
        </w:tc>
        <w:tc>
          <w:tcPr>
            <w:tcW w:w="447" w:type="pct"/>
            <w:gridSpan w:val="2"/>
            <w:vAlign w:val="center"/>
          </w:tcPr>
          <w:p>
            <w:pPr>
              <w:adjustRightInd w:val="0"/>
              <w:snapToGrid w:val="0"/>
              <w:spacing w:line="240" w:lineRule="auto"/>
              <w:ind w:firstLine="0" w:firstLineChars="0"/>
              <w:jc w:val="center"/>
              <w:rPr>
                <w:rFonts w:eastAsia="宋体" w:cs="Times New Roman"/>
                <w:bCs/>
                <w:sz w:val="21"/>
                <w:szCs w:val="21"/>
              </w:rPr>
            </w:pPr>
            <w:r>
              <w:rPr>
                <w:rFonts w:eastAsia="宋体" w:cs="Times New Roman"/>
                <w:bCs/>
                <w:sz w:val="21"/>
                <w:szCs w:val="21"/>
              </w:rPr>
              <w:t>2013.10.28</w:t>
            </w:r>
          </w:p>
        </w:tc>
        <w:tc>
          <w:tcPr>
            <w:tcW w:w="1091" w:type="pct"/>
            <w:vAlign w:val="center"/>
          </w:tcPr>
          <w:p>
            <w:pPr>
              <w:adjustRightInd w:val="0"/>
              <w:snapToGrid w:val="0"/>
              <w:spacing w:line="240" w:lineRule="auto"/>
              <w:ind w:firstLine="0" w:firstLineChars="0"/>
              <w:rPr>
                <w:rFonts w:eastAsia="宋体" w:cs="Times New Roman"/>
                <w:sz w:val="21"/>
                <w:szCs w:val="21"/>
              </w:rPr>
            </w:pPr>
            <w:r>
              <w:rPr>
                <w:rFonts w:eastAsia="宋体" w:cs="Times New Roman"/>
                <w:sz w:val="21"/>
                <w:szCs w:val="21"/>
              </w:rPr>
              <w:t>建设堆积标高435m以上部分的排水设施、回水系统、坝体观测设施，同时对原排水系统予以封堵。</w:t>
            </w:r>
          </w:p>
        </w:tc>
        <w:tc>
          <w:tcPr>
            <w:tcW w:w="350"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2014.9</w:t>
            </w:r>
          </w:p>
        </w:tc>
        <w:tc>
          <w:tcPr>
            <w:tcW w:w="397" w:type="pct"/>
            <w:vAlign w:val="center"/>
          </w:tcPr>
          <w:p>
            <w:pPr>
              <w:autoSpaceDE w:val="0"/>
              <w:autoSpaceDN w:val="0"/>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珲春市环境保护局</w:t>
            </w:r>
          </w:p>
        </w:tc>
        <w:tc>
          <w:tcPr>
            <w:tcW w:w="396" w:type="pct"/>
            <w:vAlign w:val="center"/>
          </w:tcPr>
          <w:p>
            <w:pPr>
              <w:autoSpaceDE w:val="0"/>
              <w:autoSpaceDN w:val="0"/>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w:t>
            </w:r>
          </w:p>
        </w:tc>
        <w:tc>
          <w:tcPr>
            <w:tcW w:w="445"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2014.12.23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94" w:hRule="atLeast"/>
          <w:tblHeader/>
        </w:trPr>
        <w:tc>
          <w:tcPr>
            <w:tcW w:w="157"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6</w:t>
            </w:r>
          </w:p>
        </w:tc>
        <w:tc>
          <w:tcPr>
            <w:tcW w:w="675" w:type="pct"/>
            <w:vAlign w:val="center"/>
          </w:tcPr>
          <w:p>
            <w:pPr>
              <w:autoSpaceDE w:val="0"/>
              <w:autoSpaceDN w:val="0"/>
              <w:adjustRightInd w:val="0"/>
              <w:snapToGrid w:val="0"/>
              <w:spacing w:line="240" w:lineRule="auto"/>
              <w:ind w:firstLine="0" w:firstLineChars="0"/>
              <w:jc w:val="center"/>
              <w:rPr>
                <w:rFonts w:eastAsia="宋体" w:cs="Times New Roman"/>
                <w:sz w:val="21"/>
                <w:szCs w:val="21"/>
              </w:rPr>
            </w:pPr>
            <w:r>
              <w:rPr>
                <w:rFonts w:eastAsia="宋体" w:cs="Times New Roman"/>
                <w:kern w:val="0"/>
                <w:sz w:val="21"/>
                <w:szCs w:val="21"/>
              </w:rPr>
              <w:t>珲春紫金矿业有限公司200m</w:t>
            </w:r>
            <w:r>
              <w:rPr>
                <w:rFonts w:eastAsia="宋体" w:cs="Times New Roman"/>
                <w:kern w:val="0"/>
                <w:sz w:val="21"/>
                <w:szCs w:val="21"/>
                <w:vertAlign w:val="superscript"/>
              </w:rPr>
              <w:t>3</w:t>
            </w:r>
            <w:r>
              <w:rPr>
                <w:rFonts w:eastAsia="宋体" w:cs="Times New Roman"/>
                <w:kern w:val="0"/>
                <w:sz w:val="21"/>
                <w:szCs w:val="21"/>
              </w:rPr>
              <w:t>/d 生活污水生态处理工程</w:t>
            </w:r>
          </w:p>
        </w:tc>
        <w:tc>
          <w:tcPr>
            <w:tcW w:w="248"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运行期</w:t>
            </w:r>
          </w:p>
        </w:tc>
        <w:tc>
          <w:tcPr>
            <w:tcW w:w="347" w:type="pct"/>
            <w:vAlign w:val="center"/>
          </w:tcPr>
          <w:p>
            <w:pPr>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珲春市环境保护局</w:t>
            </w:r>
          </w:p>
        </w:tc>
        <w:tc>
          <w:tcPr>
            <w:tcW w:w="447" w:type="pct"/>
            <w:gridSpan w:val="2"/>
            <w:vAlign w:val="center"/>
          </w:tcPr>
          <w:p>
            <w:pPr>
              <w:adjustRightInd w:val="0"/>
              <w:snapToGrid w:val="0"/>
              <w:spacing w:line="240" w:lineRule="auto"/>
              <w:ind w:firstLine="0" w:firstLineChars="0"/>
              <w:jc w:val="center"/>
              <w:rPr>
                <w:rFonts w:eastAsia="宋体" w:cs="Times New Roman"/>
                <w:snapToGrid w:val="0"/>
                <w:kern w:val="0"/>
                <w:sz w:val="21"/>
                <w:szCs w:val="21"/>
                <w:lang w:val="zh-CN"/>
              </w:rPr>
            </w:pPr>
            <w:r>
              <w:rPr>
                <w:rFonts w:eastAsia="宋体" w:cs="Times New Roman"/>
                <w:kern w:val="0"/>
                <w:sz w:val="21"/>
                <w:szCs w:val="21"/>
              </w:rPr>
              <w:t>珲环建（表）字[2014]16号</w:t>
            </w:r>
          </w:p>
        </w:tc>
        <w:tc>
          <w:tcPr>
            <w:tcW w:w="447" w:type="pct"/>
            <w:gridSpan w:val="2"/>
            <w:vAlign w:val="center"/>
          </w:tcPr>
          <w:p>
            <w:pPr>
              <w:adjustRightInd w:val="0"/>
              <w:snapToGrid w:val="0"/>
              <w:spacing w:line="240" w:lineRule="auto"/>
              <w:ind w:firstLine="0" w:firstLineChars="0"/>
              <w:jc w:val="center"/>
              <w:rPr>
                <w:rFonts w:eastAsia="宋体" w:cs="Times New Roman"/>
                <w:bCs/>
                <w:sz w:val="21"/>
                <w:szCs w:val="21"/>
              </w:rPr>
            </w:pPr>
            <w:r>
              <w:rPr>
                <w:rFonts w:eastAsia="宋体" w:cs="Times New Roman"/>
                <w:bCs/>
                <w:sz w:val="21"/>
                <w:szCs w:val="21"/>
              </w:rPr>
              <w:t>2014.8.14</w:t>
            </w:r>
          </w:p>
        </w:tc>
        <w:tc>
          <w:tcPr>
            <w:tcW w:w="1091" w:type="pct"/>
            <w:vAlign w:val="center"/>
          </w:tcPr>
          <w:p>
            <w:pPr>
              <w:adjustRightInd w:val="0"/>
              <w:snapToGrid w:val="0"/>
              <w:spacing w:line="240" w:lineRule="auto"/>
              <w:ind w:firstLine="0" w:firstLineChars="0"/>
              <w:rPr>
                <w:rFonts w:eastAsia="宋体" w:cs="Times New Roman"/>
                <w:sz w:val="21"/>
                <w:szCs w:val="21"/>
              </w:rPr>
            </w:pPr>
            <w:r>
              <w:rPr>
                <w:rFonts w:eastAsia="宋体" w:cs="Times New Roman"/>
                <w:sz w:val="21"/>
                <w:szCs w:val="21"/>
              </w:rPr>
              <w:t>建设设计规模为200m</w:t>
            </w:r>
            <w:r>
              <w:rPr>
                <w:rFonts w:eastAsia="宋体" w:cs="Times New Roman"/>
                <w:sz w:val="21"/>
                <w:szCs w:val="21"/>
                <w:vertAlign w:val="superscript"/>
              </w:rPr>
              <w:t>3</w:t>
            </w:r>
            <w:r>
              <w:rPr>
                <w:rFonts w:eastAsia="宋体" w:cs="Times New Roman"/>
                <w:sz w:val="21"/>
                <w:szCs w:val="21"/>
              </w:rPr>
              <w:t>/d生活污水处理设施。工程由污水收集管网系统和污水生态处理设施组成，占地面积254.5m</w:t>
            </w:r>
            <w:r>
              <w:rPr>
                <w:rFonts w:eastAsia="宋体" w:cs="Times New Roman"/>
                <w:sz w:val="21"/>
                <w:szCs w:val="21"/>
                <w:vertAlign w:val="superscript"/>
              </w:rPr>
              <w:t>2</w:t>
            </w:r>
            <w:r>
              <w:rPr>
                <w:rFonts w:eastAsia="宋体" w:cs="Times New Roman"/>
                <w:sz w:val="21"/>
                <w:szCs w:val="21"/>
              </w:rPr>
              <w:t>，建筑面积230m</w:t>
            </w:r>
            <w:r>
              <w:rPr>
                <w:rFonts w:eastAsia="宋体" w:cs="Times New Roman"/>
                <w:sz w:val="21"/>
                <w:szCs w:val="21"/>
                <w:vertAlign w:val="superscript"/>
              </w:rPr>
              <w:t>2</w:t>
            </w:r>
            <w:r>
              <w:rPr>
                <w:rFonts w:eastAsia="宋体" w:cs="Times New Roman"/>
                <w:sz w:val="21"/>
                <w:szCs w:val="21"/>
              </w:rPr>
              <w:t>。</w:t>
            </w:r>
          </w:p>
        </w:tc>
        <w:tc>
          <w:tcPr>
            <w:tcW w:w="350"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2014.11</w:t>
            </w:r>
          </w:p>
        </w:tc>
        <w:tc>
          <w:tcPr>
            <w:tcW w:w="397" w:type="pct"/>
            <w:vAlign w:val="center"/>
          </w:tcPr>
          <w:p>
            <w:pPr>
              <w:autoSpaceDE w:val="0"/>
              <w:autoSpaceDN w:val="0"/>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珲春市环境保护局</w:t>
            </w:r>
          </w:p>
        </w:tc>
        <w:tc>
          <w:tcPr>
            <w:tcW w:w="396" w:type="pct"/>
            <w:vAlign w:val="center"/>
          </w:tcPr>
          <w:p>
            <w:pPr>
              <w:autoSpaceDE w:val="0"/>
              <w:autoSpaceDN w:val="0"/>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吉环行审字[2009]3074号</w:t>
            </w:r>
          </w:p>
        </w:tc>
        <w:tc>
          <w:tcPr>
            <w:tcW w:w="445"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2014.12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5" w:hRule="atLeast"/>
          <w:tblHeader/>
        </w:trPr>
        <w:tc>
          <w:tcPr>
            <w:tcW w:w="157"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7</w:t>
            </w:r>
          </w:p>
        </w:tc>
        <w:tc>
          <w:tcPr>
            <w:tcW w:w="675" w:type="pct"/>
            <w:vAlign w:val="center"/>
          </w:tcPr>
          <w:p>
            <w:pPr>
              <w:autoSpaceDE w:val="0"/>
              <w:autoSpaceDN w:val="0"/>
              <w:adjustRightInd w:val="0"/>
              <w:snapToGrid w:val="0"/>
              <w:spacing w:line="240" w:lineRule="auto"/>
              <w:ind w:firstLine="0" w:firstLineChars="0"/>
              <w:jc w:val="center"/>
              <w:rPr>
                <w:rFonts w:eastAsia="宋体" w:cs="Times New Roman"/>
                <w:kern w:val="0"/>
                <w:sz w:val="21"/>
                <w:szCs w:val="21"/>
              </w:rPr>
            </w:pPr>
            <w:r>
              <w:rPr>
                <w:rFonts w:eastAsia="宋体" w:cs="Times New Roman"/>
                <w:sz w:val="21"/>
                <w:szCs w:val="21"/>
              </w:rPr>
              <w:t>珲春紫金曙光金铜矿尾矿库回水池及坝面排水沟改造工程</w:t>
            </w:r>
          </w:p>
        </w:tc>
        <w:tc>
          <w:tcPr>
            <w:tcW w:w="248"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运行期</w:t>
            </w:r>
          </w:p>
        </w:tc>
        <w:tc>
          <w:tcPr>
            <w:tcW w:w="347" w:type="pct"/>
            <w:vAlign w:val="center"/>
          </w:tcPr>
          <w:p>
            <w:pPr>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珲春市环境保护局</w:t>
            </w:r>
          </w:p>
        </w:tc>
        <w:tc>
          <w:tcPr>
            <w:tcW w:w="447" w:type="pct"/>
            <w:gridSpan w:val="2"/>
            <w:vAlign w:val="center"/>
          </w:tcPr>
          <w:p>
            <w:pPr>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珲环建（表）字[2014]22号</w:t>
            </w:r>
          </w:p>
        </w:tc>
        <w:tc>
          <w:tcPr>
            <w:tcW w:w="447" w:type="pct"/>
            <w:gridSpan w:val="2"/>
            <w:vAlign w:val="center"/>
          </w:tcPr>
          <w:p>
            <w:pPr>
              <w:adjustRightInd w:val="0"/>
              <w:snapToGrid w:val="0"/>
              <w:spacing w:line="240" w:lineRule="auto"/>
              <w:ind w:firstLine="0" w:firstLineChars="0"/>
              <w:jc w:val="center"/>
              <w:rPr>
                <w:rFonts w:eastAsia="宋体" w:cs="Times New Roman"/>
                <w:bCs/>
                <w:sz w:val="21"/>
                <w:szCs w:val="21"/>
              </w:rPr>
            </w:pPr>
            <w:r>
              <w:rPr>
                <w:rFonts w:eastAsia="宋体" w:cs="Times New Roman"/>
                <w:bCs/>
                <w:sz w:val="21"/>
                <w:szCs w:val="21"/>
              </w:rPr>
              <w:t>2014.12.9</w:t>
            </w:r>
          </w:p>
        </w:tc>
        <w:tc>
          <w:tcPr>
            <w:tcW w:w="1091" w:type="pct"/>
            <w:vAlign w:val="center"/>
          </w:tcPr>
          <w:p>
            <w:pPr>
              <w:adjustRightInd w:val="0"/>
              <w:snapToGrid w:val="0"/>
              <w:spacing w:line="240" w:lineRule="auto"/>
              <w:ind w:firstLine="0" w:firstLineChars="0"/>
              <w:rPr>
                <w:rFonts w:eastAsia="宋体" w:cs="Times New Roman"/>
                <w:sz w:val="21"/>
                <w:szCs w:val="21"/>
              </w:rPr>
            </w:pPr>
            <w:r>
              <w:rPr>
                <w:rFonts w:eastAsia="宋体" w:cs="Times New Roman"/>
                <w:sz w:val="21"/>
                <w:szCs w:val="21"/>
              </w:rPr>
              <w:t>改造尾矿库回水池及堆积坝坝面排水沟。</w:t>
            </w:r>
          </w:p>
        </w:tc>
        <w:tc>
          <w:tcPr>
            <w:tcW w:w="350"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2014.10</w:t>
            </w:r>
          </w:p>
        </w:tc>
        <w:tc>
          <w:tcPr>
            <w:tcW w:w="397" w:type="pct"/>
            <w:vAlign w:val="center"/>
          </w:tcPr>
          <w:p>
            <w:pPr>
              <w:autoSpaceDE w:val="0"/>
              <w:autoSpaceDN w:val="0"/>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珲春市环境保护局</w:t>
            </w:r>
          </w:p>
        </w:tc>
        <w:tc>
          <w:tcPr>
            <w:tcW w:w="396" w:type="pct"/>
            <w:vAlign w:val="center"/>
          </w:tcPr>
          <w:p>
            <w:pPr>
              <w:autoSpaceDE w:val="0"/>
              <w:autoSpaceDN w:val="0"/>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w:t>
            </w:r>
          </w:p>
        </w:tc>
        <w:tc>
          <w:tcPr>
            <w:tcW w:w="445"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2015.1.6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blHeader/>
        </w:trPr>
        <w:tc>
          <w:tcPr>
            <w:tcW w:w="157" w:type="pct"/>
            <w:vMerge w:val="restar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序号</w:t>
            </w:r>
          </w:p>
        </w:tc>
        <w:tc>
          <w:tcPr>
            <w:tcW w:w="675" w:type="pct"/>
            <w:vMerge w:val="restar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生产线</w:t>
            </w:r>
          </w:p>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名称</w:t>
            </w:r>
          </w:p>
        </w:tc>
        <w:tc>
          <w:tcPr>
            <w:tcW w:w="248" w:type="pct"/>
            <w:vMerge w:val="restar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运行</w:t>
            </w:r>
          </w:p>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状态</w:t>
            </w:r>
          </w:p>
        </w:tc>
        <w:tc>
          <w:tcPr>
            <w:tcW w:w="2332" w:type="pct"/>
            <w:gridSpan w:val="6"/>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环境影响评价</w:t>
            </w:r>
          </w:p>
        </w:tc>
        <w:tc>
          <w:tcPr>
            <w:tcW w:w="350" w:type="pct"/>
            <w:vMerge w:val="restar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投入运行时间</w:t>
            </w:r>
          </w:p>
        </w:tc>
        <w:tc>
          <w:tcPr>
            <w:tcW w:w="1238" w:type="pct"/>
            <w:gridSpan w:val="3"/>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竣工环境保护验收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7" w:hRule="atLeast"/>
          <w:tblHeader/>
        </w:trPr>
        <w:tc>
          <w:tcPr>
            <w:tcW w:w="157" w:type="pct"/>
            <w:vMerge w:val="continue"/>
            <w:vAlign w:val="center"/>
          </w:tcPr>
          <w:p>
            <w:pPr>
              <w:adjustRightInd w:val="0"/>
              <w:snapToGrid w:val="0"/>
              <w:spacing w:line="240" w:lineRule="auto"/>
              <w:ind w:firstLine="0" w:firstLineChars="0"/>
              <w:jc w:val="center"/>
              <w:rPr>
                <w:rFonts w:eastAsia="宋体" w:cs="Times New Roman"/>
                <w:sz w:val="21"/>
                <w:szCs w:val="21"/>
              </w:rPr>
            </w:pPr>
          </w:p>
        </w:tc>
        <w:tc>
          <w:tcPr>
            <w:tcW w:w="675" w:type="pct"/>
            <w:vMerge w:val="continue"/>
            <w:vAlign w:val="center"/>
          </w:tcPr>
          <w:p>
            <w:pPr>
              <w:adjustRightInd w:val="0"/>
              <w:snapToGrid w:val="0"/>
              <w:spacing w:line="240" w:lineRule="auto"/>
              <w:ind w:firstLine="0" w:firstLineChars="0"/>
              <w:jc w:val="center"/>
              <w:rPr>
                <w:rFonts w:eastAsia="宋体" w:cs="Times New Roman"/>
                <w:sz w:val="21"/>
                <w:szCs w:val="21"/>
              </w:rPr>
            </w:pPr>
          </w:p>
        </w:tc>
        <w:tc>
          <w:tcPr>
            <w:tcW w:w="248" w:type="pct"/>
            <w:vMerge w:val="continue"/>
            <w:vAlign w:val="center"/>
          </w:tcPr>
          <w:p>
            <w:pPr>
              <w:adjustRightInd w:val="0"/>
              <w:snapToGrid w:val="0"/>
              <w:spacing w:line="240" w:lineRule="auto"/>
              <w:ind w:firstLine="0" w:firstLineChars="0"/>
              <w:jc w:val="center"/>
              <w:rPr>
                <w:rFonts w:eastAsia="宋体" w:cs="Times New Roman"/>
                <w:sz w:val="21"/>
                <w:szCs w:val="21"/>
              </w:rPr>
            </w:pPr>
          </w:p>
        </w:tc>
        <w:tc>
          <w:tcPr>
            <w:tcW w:w="397" w:type="pct"/>
            <w:gridSpan w:val="2"/>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审批部门</w:t>
            </w:r>
          </w:p>
        </w:tc>
        <w:tc>
          <w:tcPr>
            <w:tcW w:w="447" w:type="pct"/>
            <w:gridSpan w:val="2"/>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批准文号</w:t>
            </w:r>
          </w:p>
        </w:tc>
        <w:tc>
          <w:tcPr>
            <w:tcW w:w="397"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批准时间</w:t>
            </w:r>
          </w:p>
        </w:tc>
        <w:tc>
          <w:tcPr>
            <w:tcW w:w="1091"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主要许可事项</w:t>
            </w:r>
          </w:p>
        </w:tc>
        <w:tc>
          <w:tcPr>
            <w:tcW w:w="350" w:type="pct"/>
            <w:vMerge w:val="continue"/>
            <w:vAlign w:val="center"/>
          </w:tcPr>
          <w:p>
            <w:pPr>
              <w:adjustRightInd w:val="0"/>
              <w:snapToGrid w:val="0"/>
              <w:spacing w:line="240" w:lineRule="auto"/>
              <w:ind w:firstLine="0" w:firstLineChars="0"/>
              <w:jc w:val="center"/>
              <w:rPr>
                <w:rFonts w:eastAsia="宋体" w:cs="Times New Roman"/>
                <w:sz w:val="21"/>
                <w:szCs w:val="21"/>
              </w:rPr>
            </w:pPr>
          </w:p>
        </w:tc>
        <w:tc>
          <w:tcPr>
            <w:tcW w:w="397"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审批部门</w:t>
            </w:r>
          </w:p>
        </w:tc>
        <w:tc>
          <w:tcPr>
            <w:tcW w:w="396"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批准文号</w:t>
            </w:r>
          </w:p>
        </w:tc>
        <w:tc>
          <w:tcPr>
            <w:tcW w:w="445"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批准时间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75" w:hRule="atLeast"/>
          <w:tblHeader/>
        </w:trPr>
        <w:tc>
          <w:tcPr>
            <w:tcW w:w="157"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8</w:t>
            </w:r>
          </w:p>
        </w:tc>
        <w:tc>
          <w:tcPr>
            <w:tcW w:w="675"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珲春紫金矿业有限公司曙光金铜矿9500t/d改扩建项目尾矿库副坝及排水工程</w:t>
            </w:r>
          </w:p>
        </w:tc>
        <w:tc>
          <w:tcPr>
            <w:tcW w:w="248"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运行期</w:t>
            </w:r>
          </w:p>
        </w:tc>
        <w:tc>
          <w:tcPr>
            <w:tcW w:w="397" w:type="pct"/>
            <w:gridSpan w:val="2"/>
            <w:vAlign w:val="center"/>
          </w:tcPr>
          <w:p>
            <w:pPr>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珲春市环境保护局</w:t>
            </w:r>
          </w:p>
        </w:tc>
        <w:tc>
          <w:tcPr>
            <w:tcW w:w="447" w:type="pct"/>
            <w:gridSpan w:val="2"/>
            <w:vAlign w:val="center"/>
          </w:tcPr>
          <w:p>
            <w:pPr>
              <w:adjustRightInd w:val="0"/>
              <w:snapToGrid w:val="0"/>
              <w:spacing w:line="240" w:lineRule="auto"/>
              <w:ind w:firstLine="0" w:firstLineChars="0"/>
              <w:jc w:val="center"/>
              <w:rPr>
                <w:rFonts w:eastAsia="宋体" w:cs="Times New Roman"/>
                <w:snapToGrid w:val="0"/>
                <w:kern w:val="0"/>
                <w:sz w:val="21"/>
                <w:szCs w:val="21"/>
                <w:lang w:val="zh-CN"/>
              </w:rPr>
            </w:pPr>
            <w:r>
              <w:rPr>
                <w:rFonts w:eastAsia="宋体" w:cs="Times New Roman"/>
                <w:kern w:val="0"/>
                <w:sz w:val="21"/>
                <w:szCs w:val="21"/>
              </w:rPr>
              <w:t>珲环建（表）字[2016]03号</w:t>
            </w:r>
          </w:p>
        </w:tc>
        <w:tc>
          <w:tcPr>
            <w:tcW w:w="397" w:type="pct"/>
            <w:vAlign w:val="center"/>
          </w:tcPr>
          <w:p>
            <w:pPr>
              <w:adjustRightInd w:val="0"/>
              <w:snapToGrid w:val="0"/>
              <w:spacing w:line="240" w:lineRule="auto"/>
              <w:ind w:firstLine="0" w:firstLineChars="0"/>
              <w:jc w:val="center"/>
              <w:rPr>
                <w:rFonts w:eastAsia="宋体" w:cs="Times New Roman"/>
                <w:bCs/>
                <w:sz w:val="21"/>
                <w:szCs w:val="21"/>
              </w:rPr>
            </w:pPr>
            <w:r>
              <w:rPr>
                <w:rFonts w:eastAsia="宋体" w:cs="Times New Roman"/>
                <w:kern w:val="0"/>
                <w:sz w:val="21"/>
                <w:szCs w:val="21"/>
              </w:rPr>
              <w:t>2016.4</w:t>
            </w:r>
          </w:p>
        </w:tc>
        <w:tc>
          <w:tcPr>
            <w:tcW w:w="1091" w:type="pct"/>
            <w:vAlign w:val="center"/>
          </w:tcPr>
          <w:p>
            <w:pPr>
              <w:adjustRightInd w:val="0"/>
              <w:snapToGrid w:val="0"/>
              <w:spacing w:line="240" w:lineRule="auto"/>
              <w:ind w:firstLine="0" w:firstLineChars="0"/>
              <w:rPr>
                <w:rFonts w:eastAsia="宋体" w:cs="Times New Roman"/>
                <w:sz w:val="21"/>
                <w:szCs w:val="21"/>
              </w:rPr>
            </w:pPr>
            <w:r>
              <w:rPr>
                <w:rFonts w:eastAsia="宋体" w:cs="Times New Roman"/>
                <w:sz w:val="21"/>
                <w:szCs w:val="21"/>
              </w:rPr>
              <w:t>位于珲春紫金矿业二期尾矿库内，建设副坝和排水系统，设在库尾左岸山脊垭口处，建设副坝，最大坝高11m，坝长305.2m。新增排水系统，排水井框架高10m，排水涵管厂61.63m。</w:t>
            </w:r>
          </w:p>
        </w:tc>
        <w:tc>
          <w:tcPr>
            <w:tcW w:w="350"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2016.10</w:t>
            </w:r>
          </w:p>
        </w:tc>
        <w:tc>
          <w:tcPr>
            <w:tcW w:w="793" w:type="pct"/>
            <w:gridSpan w:val="2"/>
            <w:vAlign w:val="center"/>
          </w:tcPr>
          <w:p>
            <w:pPr>
              <w:autoSpaceDE w:val="0"/>
              <w:autoSpaceDN w:val="0"/>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企业自主验收</w:t>
            </w:r>
          </w:p>
        </w:tc>
        <w:tc>
          <w:tcPr>
            <w:tcW w:w="445"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kern w:val="0"/>
                <w:sz w:val="21"/>
                <w:szCs w:val="21"/>
              </w:rPr>
              <w:t>2018.3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81" w:hRule="atLeast"/>
          <w:tblHeader/>
        </w:trPr>
        <w:tc>
          <w:tcPr>
            <w:tcW w:w="157"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9</w:t>
            </w:r>
          </w:p>
        </w:tc>
        <w:tc>
          <w:tcPr>
            <w:tcW w:w="675"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化验室污水综合处理项目</w:t>
            </w:r>
          </w:p>
        </w:tc>
        <w:tc>
          <w:tcPr>
            <w:tcW w:w="248"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运行期</w:t>
            </w:r>
          </w:p>
        </w:tc>
        <w:tc>
          <w:tcPr>
            <w:tcW w:w="397" w:type="pct"/>
            <w:gridSpan w:val="2"/>
            <w:vAlign w:val="center"/>
          </w:tcPr>
          <w:p>
            <w:pPr>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珲春市环境保护局</w:t>
            </w:r>
          </w:p>
        </w:tc>
        <w:tc>
          <w:tcPr>
            <w:tcW w:w="447" w:type="pct"/>
            <w:gridSpan w:val="2"/>
            <w:vAlign w:val="center"/>
          </w:tcPr>
          <w:p>
            <w:pPr>
              <w:adjustRightInd w:val="0"/>
              <w:snapToGrid w:val="0"/>
              <w:spacing w:line="240" w:lineRule="auto"/>
              <w:ind w:firstLine="0" w:firstLineChars="0"/>
              <w:jc w:val="center"/>
              <w:rPr>
                <w:rFonts w:eastAsia="宋体" w:cs="Times New Roman"/>
                <w:snapToGrid w:val="0"/>
                <w:kern w:val="0"/>
                <w:sz w:val="21"/>
                <w:szCs w:val="21"/>
                <w:lang w:val="zh-CN"/>
              </w:rPr>
            </w:pPr>
            <w:r>
              <w:rPr>
                <w:rFonts w:eastAsia="宋体" w:cs="Times New Roman"/>
                <w:snapToGrid w:val="0"/>
                <w:kern w:val="0"/>
                <w:sz w:val="21"/>
                <w:szCs w:val="21"/>
                <w:lang w:val="zh-CN"/>
              </w:rPr>
              <w:t>珲环建（表）字[201</w:t>
            </w:r>
            <w:r>
              <w:rPr>
                <w:rFonts w:eastAsia="宋体" w:cs="Times New Roman"/>
                <w:snapToGrid w:val="0"/>
                <w:kern w:val="0"/>
                <w:sz w:val="21"/>
                <w:szCs w:val="21"/>
              </w:rPr>
              <w:t>8</w:t>
            </w:r>
            <w:r>
              <w:rPr>
                <w:rFonts w:eastAsia="宋体" w:cs="Times New Roman"/>
                <w:snapToGrid w:val="0"/>
                <w:kern w:val="0"/>
                <w:sz w:val="21"/>
                <w:szCs w:val="21"/>
                <w:lang w:val="zh-CN"/>
              </w:rPr>
              <w:t>]</w:t>
            </w:r>
            <w:r>
              <w:rPr>
                <w:rFonts w:eastAsia="宋体" w:cs="Times New Roman"/>
                <w:snapToGrid w:val="0"/>
                <w:kern w:val="0"/>
                <w:sz w:val="21"/>
                <w:szCs w:val="21"/>
              </w:rPr>
              <w:t>20</w:t>
            </w:r>
            <w:r>
              <w:rPr>
                <w:rFonts w:eastAsia="宋体" w:cs="Times New Roman"/>
                <w:snapToGrid w:val="0"/>
                <w:kern w:val="0"/>
                <w:sz w:val="21"/>
                <w:szCs w:val="21"/>
                <w:lang w:val="zh-CN"/>
              </w:rPr>
              <w:t>号</w:t>
            </w:r>
          </w:p>
        </w:tc>
        <w:tc>
          <w:tcPr>
            <w:tcW w:w="397" w:type="pct"/>
            <w:vAlign w:val="center"/>
          </w:tcPr>
          <w:p>
            <w:pPr>
              <w:adjustRightInd w:val="0"/>
              <w:snapToGrid w:val="0"/>
              <w:spacing w:line="240" w:lineRule="auto"/>
              <w:ind w:firstLine="0" w:firstLineChars="0"/>
              <w:jc w:val="center"/>
              <w:rPr>
                <w:rFonts w:eastAsia="宋体" w:cs="Times New Roman"/>
                <w:bCs/>
                <w:sz w:val="21"/>
                <w:szCs w:val="21"/>
              </w:rPr>
            </w:pPr>
            <w:r>
              <w:rPr>
                <w:rFonts w:eastAsia="宋体" w:cs="Times New Roman"/>
                <w:bCs/>
                <w:sz w:val="21"/>
                <w:szCs w:val="21"/>
              </w:rPr>
              <w:t>2018.10.15</w:t>
            </w:r>
          </w:p>
        </w:tc>
        <w:tc>
          <w:tcPr>
            <w:tcW w:w="1091" w:type="pct"/>
            <w:vAlign w:val="center"/>
          </w:tcPr>
          <w:p>
            <w:pPr>
              <w:adjustRightInd w:val="0"/>
              <w:snapToGrid w:val="0"/>
              <w:spacing w:line="240" w:lineRule="auto"/>
              <w:ind w:firstLine="0" w:firstLineChars="0"/>
              <w:rPr>
                <w:rFonts w:eastAsia="宋体" w:cs="Times New Roman"/>
                <w:sz w:val="21"/>
                <w:szCs w:val="21"/>
              </w:rPr>
            </w:pPr>
            <w:r>
              <w:rPr>
                <w:rFonts w:eastAsia="宋体" w:cs="Times New Roman"/>
                <w:sz w:val="21"/>
                <w:szCs w:val="21"/>
              </w:rPr>
              <w:t>建设1座污水处理系统，占地面积为15m</w:t>
            </w:r>
            <w:r>
              <w:rPr>
                <w:rFonts w:eastAsia="宋体" w:cs="Times New Roman"/>
                <w:sz w:val="21"/>
                <w:szCs w:val="21"/>
                <w:vertAlign w:val="superscript"/>
              </w:rPr>
              <w:t>2</w:t>
            </w:r>
            <w:r>
              <w:rPr>
                <w:rFonts w:eastAsia="宋体" w:cs="Times New Roman"/>
                <w:sz w:val="21"/>
                <w:szCs w:val="21"/>
              </w:rPr>
              <w:t>，采用“混凝气浮+生化反应+膜处理”工艺，处理规模为0.5m</w:t>
            </w:r>
            <w:r>
              <w:rPr>
                <w:rFonts w:eastAsia="宋体" w:cs="Times New Roman"/>
                <w:sz w:val="21"/>
                <w:szCs w:val="21"/>
                <w:vertAlign w:val="superscript"/>
              </w:rPr>
              <w:t>3</w:t>
            </w:r>
            <w:r>
              <w:rPr>
                <w:rFonts w:eastAsia="宋体" w:cs="Times New Roman"/>
                <w:sz w:val="21"/>
                <w:szCs w:val="21"/>
              </w:rPr>
              <w:t>/d。</w:t>
            </w:r>
          </w:p>
        </w:tc>
        <w:tc>
          <w:tcPr>
            <w:tcW w:w="350"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2019.1</w:t>
            </w:r>
          </w:p>
        </w:tc>
        <w:tc>
          <w:tcPr>
            <w:tcW w:w="793" w:type="pct"/>
            <w:gridSpan w:val="2"/>
            <w:vAlign w:val="center"/>
          </w:tcPr>
          <w:p>
            <w:pPr>
              <w:autoSpaceDE w:val="0"/>
              <w:autoSpaceDN w:val="0"/>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企业自主验收</w:t>
            </w:r>
          </w:p>
        </w:tc>
        <w:tc>
          <w:tcPr>
            <w:tcW w:w="445"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2021.10.20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5" w:hRule="atLeast"/>
          <w:tblHeader/>
        </w:trPr>
        <w:tc>
          <w:tcPr>
            <w:tcW w:w="157"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10</w:t>
            </w:r>
          </w:p>
        </w:tc>
        <w:tc>
          <w:tcPr>
            <w:tcW w:w="675"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珲春紫金矿业有限公司锅炉房改造建设项目</w:t>
            </w:r>
          </w:p>
        </w:tc>
        <w:tc>
          <w:tcPr>
            <w:tcW w:w="248"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运行期</w:t>
            </w:r>
          </w:p>
        </w:tc>
        <w:tc>
          <w:tcPr>
            <w:tcW w:w="397" w:type="pct"/>
            <w:gridSpan w:val="2"/>
            <w:vAlign w:val="center"/>
          </w:tcPr>
          <w:p>
            <w:pPr>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珲春市环境保护局</w:t>
            </w:r>
          </w:p>
        </w:tc>
        <w:tc>
          <w:tcPr>
            <w:tcW w:w="447" w:type="pct"/>
            <w:gridSpan w:val="2"/>
            <w:vAlign w:val="center"/>
          </w:tcPr>
          <w:p>
            <w:pPr>
              <w:adjustRightInd w:val="0"/>
              <w:snapToGrid w:val="0"/>
              <w:spacing w:line="240" w:lineRule="auto"/>
              <w:ind w:firstLine="0" w:firstLineChars="0"/>
              <w:jc w:val="center"/>
              <w:rPr>
                <w:rFonts w:eastAsia="宋体" w:cs="Times New Roman"/>
                <w:snapToGrid w:val="0"/>
                <w:kern w:val="0"/>
                <w:sz w:val="21"/>
                <w:szCs w:val="21"/>
                <w:lang w:val="zh-CN"/>
              </w:rPr>
            </w:pPr>
            <w:r>
              <w:rPr>
                <w:rFonts w:eastAsia="宋体" w:cs="Times New Roman"/>
                <w:snapToGrid w:val="0"/>
                <w:kern w:val="0"/>
                <w:sz w:val="21"/>
                <w:szCs w:val="21"/>
                <w:lang w:val="zh-CN"/>
              </w:rPr>
              <w:t>珲环建（表）字[2019]05号</w:t>
            </w:r>
          </w:p>
        </w:tc>
        <w:tc>
          <w:tcPr>
            <w:tcW w:w="397" w:type="pct"/>
            <w:vAlign w:val="center"/>
          </w:tcPr>
          <w:p>
            <w:pPr>
              <w:adjustRightInd w:val="0"/>
              <w:snapToGrid w:val="0"/>
              <w:spacing w:line="240" w:lineRule="auto"/>
              <w:ind w:firstLine="0" w:firstLineChars="0"/>
              <w:jc w:val="center"/>
              <w:rPr>
                <w:rFonts w:eastAsia="宋体" w:cs="Times New Roman"/>
                <w:bCs/>
                <w:sz w:val="21"/>
                <w:szCs w:val="21"/>
              </w:rPr>
            </w:pPr>
            <w:r>
              <w:rPr>
                <w:rFonts w:eastAsia="宋体" w:cs="Times New Roman"/>
                <w:bCs/>
                <w:sz w:val="21"/>
                <w:szCs w:val="21"/>
              </w:rPr>
              <w:t>2019.3.5</w:t>
            </w:r>
          </w:p>
        </w:tc>
        <w:tc>
          <w:tcPr>
            <w:tcW w:w="1091" w:type="pct"/>
            <w:vAlign w:val="center"/>
          </w:tcPr>
          <w:p>
            <w:pPr>
              <w:adjustRightInd w:val="0"/>
              <w:snapToGrid w:val="0"/>
              <w:spacing w:line="240" w:lineRule="auto"/>
              <w:ind w:firstLine="0" w:firstLineChars="0"/>
              <w:rPr>
                <w:rFonts w:eastAsia="宋体" w:cs="Times New Roman"/>
                <w:sz w:val="21"/>
                <w:szCs w:val="21"/>
              </w:rPr>
            </w:pPr>
            <w:r>
              <w:rPr>
                <w:rFonts w:eastAsia="宋体" w:cs="Times New Roman"/>
                <w:sz w:val="21"/>
                <w:szCs w:val="21"/>
              </w:rPr>
              <w:t>将2台10t/h燃煤锅炉进行除尘脱硫改造，除尘采用新建高效脉冲布袋除尘器，脱硫采用脱硫塔，脱硫剂为氢氧化钠。</w:t>
            </w:r>
          </w:p>
        </w:tc>
        <w:tc>
          <w:tcPr>
            <w:tcW w:w="350"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2019.12</w:t>
            </w:r>
          </w:p>
        </w:tc>
        <w:tc>
          <w:tcPr>
            <w:tcW w:w="793" w:type="pct"/>
            <w:gridSpan w:val="2"/>
            <w:vAlign w:val="center"/>
          </w:tcPr>
          <w:p>
            <w:pPr>
              <w:autoSpaceDE w:val="0"/>
              <w:autoSpaceDN w:val="0"/>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企业自主验收</w:t>
            </w:r>
          </w:p>
          <w:p>
            <w:pPr>
              <w:autoSpaceDE w:val="0"/>
              <w:autoSpaceDN w:val="0"/>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珲环验固2019020号</w:t>
            </w:r>
          </w:p>
        </w:tc>
        <w:tc>
          <w:tcPr>
            <w:tcW w:w="445"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2019.12.18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01" w:hRule="atLeast"/>
          <w:tblHeader/>
        </w:trPr>
        <w:tc>
          <w:tcPr>
            <w:tcW w:w="157"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11</w:t>
            </w:r>
          </w:p>
        </w:tc>
        <w:tc>
          <w:tcPr>
            <w:tcW w:w="675"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珲春紫金矿业有限公司危险废物贮存库建设项目</w:t>
            </w:r>
          </w:p>
        </w:tc>
        <w:tc>
          <w:tcPr>
            <w:tcW w:w="248"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运行期</w:t>
            </w:r>
          </w:p>
        </w:tc>
        <w:tc>
          <w:tcPr>
            <w:tcW w:w="397" w:type="pct"/>
            <w:gridSpan w:val="2"/>
            <w:vAlign w:val="center"/>
          </w:tcPr>
          <w:p>
            <w:pPr>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珲春市环境保护局</w:t>
            </w:r>
          </w:p>
        </w:tc>
        <w:tc>
          <w:tcPr>
            <w:tcW w:w="447" w:type="pct"/>
            <w:gridSpan w:val="2"/>
            <w:vAlign w:val="center"/>
          </w:tcPr>
          <w:p>
            <w:pPr>
              <w:adjustRightInd w:val="0"/>
              <w:snapToGrid w:val="0"/>
              <w:spacing w:line="240" w:lineRule="auto"/>
              <w:ind w:firstLine="0" w:firstLineChars="0"/>
              <w:jc w:val="center"/>
              <w:rPr>
                <w:rFonts w:eastAsia="宋体" w:cs="Times New Roman"/>
                <w:snapToGrid w:val="0"/>
                <w:kern w:val="0"/>
                <w:sz w:val="21"/>
                <w:szCs w:val="21"/>
                <w:lang w:val="zh-CN"/>
              </w:rPr>
            </w:pPr>
            <w:r>
              <w:rPr>
                <w:rFonts w:eastAsia="宋体" w:cs="Times New Roman"/>
                <w:snapToGrid w:val="0"/>
                <w:kern w:val="0"/>
                <w:sz w:val="21"/>
                <w:szCs w:val="21"/>
                <w:lang w:val="zh-CN"/>
              </w:rPr>
              <w:t>珲环建（表）字[2019]11号</w:t>
            </w:r>
          </w:p>
        </w:tc>
        <w:tc>
          <w:tcPr>
            <w:tcW w:w="397" w:type="pct"/>
            <w:vAlign w:val="center"/>
          </w:tcPr>
          <w:p>
            <w:pPr>
              <w:adjustRightInd w:val="0"/>
              <w:snapToGrid w:val="0"/>
              <w:spacing w:line="240" w:lineRule="auto"/>
              <w:ind w:firstLine="0" w:firstLineChars="0"/>
              <w:jc w:val="center"/>
              <w:rPr>
                <w:rFonts w:eastAsia="宋体" w:cs="Times New Roman"/>
                <w:bCs/>
                <w:sz w:val="21"/>
                <w:szCs w:val="21"/>
              </w:rPr>
            </w:pPr>
            <w:r>
              <w:rPr>
                <w:rFonts w:eastAsia="宋体" w:cs="Times New Roman"/>
                <w:bCs/>
                <w:sz w:val="21"/>
                <w:szCs w:val="21"/>
              </w:rPr>
              <w:t>2019.4.19</w:t>
            </w:r>
          </w:p>
        </w:tc>
        <w:tc>
          <w:tcPr>
            <w:tcW w:w="1091" w:type="pct"/>
            <w:vAlign w:val="center"/>
          </w:tcPr>
          <w:p>
            <w:pPr>
              <w:adjustRightInd w:val="0"/>
              <w:snapToGrid w:val="0"/>
              <w:spacing w:line="240" w:lineRule="auto"/>
              <w:ind w:firstLine="0" w:firstLineChars="0"/>
              <w:rPr>
                <w:rFonts w:eastAsia="宋体" w:cs="Times New Roman"/>
                <w:sz w:val="21"/>
                <w:szCs w:val="21"/>
              </w:rPr>
            </w:pPr>
            <w:r>
              <w:rPr>
                <w:rFonts w:eastAsia="宋体" w:cs="Times New Roman"/>
                <w:sz w:val="21"/>
                <w:szCs w:val="21"/>
              </w:rPr>
              <w:t>利用闲置房屋进行建设，无需新增占地。建筑面积120m</w:t>
            </w:r>
            <w:r>
              <w:rPr>
                <w:rFonts w:eastAsia="宋体" w:cs="Times New Roman"/>
                <w:sz w:val="21"/>
                <w:szCs w:val="21"/>
                <w:vertAlign w:val="superscript"/>
              </w:rPr>
              <w:t>2</w:t>
            </w:r>
            <w:r>
              <w:rPr>
                <w:rFonts w:eastAsia="宋体" w:cs="Times New Roman"/>
                <w:sz w:val="21"/>
                <w:szCs w:val="21"/>
              </w:rPr>
              <w:t>，其中包括贮存区、空油桶区、备用区、应急物资室、事故池，主要暂存废机油（HW08）、废油桶（HW49）。最大储存量为30t/a，周转量为80t/a。</w:t>
            </w:r>
          </w:p>
        </w:tc>
        <w:tc>
          <w:tcPr>
            <w:tcW w:w="350"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2019.12</w:t>
            </w:r>
          </w:p>
        </w:tc>
        <w:tc>
          <w:tcPr>
            <w:tcW w:w="793" w:type="pct"/>
            <w:gridSpan w:val="2"/>
            <w:vAlign w:val="center"/>
          </w:tcPr>
          <w:p>
            <w:pPr>
              <w:autoSpaceDE w:val="0"/>
              <w:autoSpaceDN w:val="0"/>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企业自主验收</w:t>
            </w:r>
          </w:p>
          <w:p>
            <w:pPr>
              <w:autoSpaceDE w:val="0"/>
              <w:autoSpaceDN w:val="0"/>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珲环验固2019019号</w:t>
            </w:r>
          </w:p>
        </w:tc>
        <w:tc>
          <w:tcPr>
            <w:tcW w:w="445"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2019.12.18</w:t>
            </w:r>
          </w:p>
        </w:tc>
      </w:tr>
    </w:tbl>
    <w:p>
      <w:pPr>
        <w:ind w:firstLine="199" w:firstLineChars="83"/>
        <w:rPr>
          <w:rFonts w:cs="Times New Roman"/>
        </w:rPr>
      </w:pPr>
    </w:p>
    <w:p>
      <w:pPr>
        <w:ind w:firstLine="480"/>
        <w:rPr>
          <w:rFonts w:cs="Times New Roman"/>
        </w:rPr>
        <w:sectPr>
          <w:pgSz w:w="16838" w:h="11906" w:orient="landscape"/>
          <w:pgMar w:top="1797" w:right="1440" w:bottom="1797" w:left="1440" w:header="851" w:footer="992" w:gutter="0"/>
          <w:cols w:space="425" w:num="1"/>
          <w:docGrid w:type="lines" w:linePitch="326" w:charSpace="0"/>
        </w:sectPr>
      </w:pPr>
    </w:p>
    <w:bookmarkEnd w:id="67"/>
    <w:p>
      <w:pPr>
        <w:pStyle w:val="3"/>
        <w:rPr>
          <w:rFonts w:cs="Times New Roman"/>
          <w:szCs w:val="28"/>
        </w:rPr>
      </w:pPr>
      <w:bookmarkStart w:id="69" w:name="_Toc127266647"/>
      <w:bookmarkStart w:id="70" w:name="_Toc94185473"/>
      <w:bookmarkStart w:id="71" w:name="_Toc97540955"/>
      <w:r>
        <w:rPr>
          <w:rFonts w:cs="Times New Roman"/>
          <w:szCs w:val="28"/>
        </w:rPr>
        <w:t>4.2 环境保护税缴纳情况</w:t>
      </w:r>
      <w:bookmarkEnd w:id="69"/>
      <w:bookmarkEnd w:id="70"/>
      <w:bookmarkEnd w:id="71"/>
    </w:p>
    <w:p>
      <w:pPr>
        <w:ind w:left="120" w:leftChars="50" w:firstLine="480"/>
        <w:rPr>
          <w:rFonts w:cs="Times New Roman"/>
          <w:highlight w:val="yellow"/>
        </w:rPr>
      </w:pPr>
      <w:r>
        <w:rPr>
          <w:rFonts w:cs="Times New Roman"/>
        </w:rPr>
        <w:t>202</w:t>
      </w:r>
      <w:r>
        <w:rPr>
          <w:rFonts w:hint="eastAsia" w:cs="Times New Roman"/>
        </w:rPr>
        <w:t>2</w:t>
      </w:r>
      <w:r>
        <w:rPr>
          <w:rFonts w:cs="Times New Roman"/>
        </w:rPr>
        <w:t>年，</w:t>
      </w:r>
      <w:r>
        <w:rPr>
          <w:rFonts w:hint="eastAsia" w:cs="Times New Roman"/>
        </w:rPr>
        <w:t>曙光金铜矿</w:t>
      </w:r>
      <w:r>
        <w:rPr>
          <w:rFonts w:cs="Times New Roman"/>
        </w:rPr>
        <w:t>实际缴纳</w:t>
      </w:r>
      <w:r>
        <w:rPr>
          <w:rFonts w:hint="eastAsia" w:cs="Times New Roman"/>
        </w:rPr>
        <w:t>（补缴）</w:t>
      </w:r>
      <w:r>
        <w:rPr>
          <w:rFonts w:cs="Times New Roman"/>
        </w:rPr>
        <w:t>环境保护税</w:t>
      </w:r>
      <w:r>
        <w:rPr>
          <w:rFonts w:hint="eastAsia" w:cs="Times New Roman"/>
        </w:rPr>
        <w:t>50396.42</w:t>
      </w:r>
      <w:r>
        <w:rPr>
          <w:rFonts w:cs="Times New Roman"/>
        </w:rPr>
        <w:t>元</w:t>
      </w:r>
      <w:r>
        <w:rPr>
          <w:rFonts w:hint="eastAsia" w:cs="Times New Roman"/>
        </w:rPr>
        <w:t>，</w:t>
      </w:r>
      <w:r>
        <w:rPr>
          <w:rFonts w:cs="Times New Roman"/>
        </w:rPr>
        <w:t>已享受税收减免政策，全年共减免金额</w:t>
      </w:r>
      <w:r>
        <w:rPr>
          <w:rFonts w:hint="eastAsia" w:cs="Times New Roman"/>
        </w:rPr>
        <w:t>26152.01</w:t>
      </w:r>
      <w:r>
        <w:rPr>
          <w:rFonts w:cs="Times New Roman"/>
        </w:rPr>
        <w:t>元，全部为大气污染物。分税目缴纳额见表4.2-1。</w:t>
      </w:r>
    </w:p>
    <w:p>
      <w:pPr>
        <w:ind w:firstLine="0" w:firstLineChars="0"/>
        <w:jc w:val="center"/>
        <w:rPr>
          <w:rFonts w:eastAsia="黑体" w:cs="Times New Roman"/>
        </w:rPr>
      </w:pPr>
      <w:r>
        <w:rPr>
          <w:rFonts w:eastAsia="黑体" w:cs="Times New Roman"/>
        </w:rPr>
        <w:t xml:space="preserve">表4.2-1 </w:t>
      </w:r>
      <w:r>
        <w:rPr>
          <w:rFonts w:hint="eastAsia" w:eastAsia="黑体" w:cs="Times New Roman"/>
        </w:rPr>
        <w:t xml:space="preserve"> 2022年</w:t>
      </w:r>
      <w:r>
        <w:rPr>
          <w:rFonts w:eastAsia="黑体" w:cs="Times New Roman"/>
        </w:rPr>
        <w:t>环保税缴纳统计表</w:t>
      </w:r>
    </w:p>
    <w:tbl>
      <w:tblPr>
        <w:tblStyle w:val="43"/>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54"/>
        <w:gridCol w:w="2008"/>
        <w:gridCol w:w="1277"/>
        <w:gridCol w:w="1417"/>
        <w:gridCol w:w="1446"/>
        <w:gridCol w:w="172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83" w:type="pct"/>
            <w:shd w:val="clear" w:color="auto" w:fill="auto"/>
            <w:noWrap/>
            <w:vAlign w:val="center"/>
          </w:tcPr>
          <w:p>
            <w:pPr>
              <w:widowControl/>
              <w:adjustRightInd w:val="0"/>
              <w:snapToGrid w:val="0"/>
              <w:spacing w:line="240" w:lineRule="auto"/>
              <w:ind w:firstLine="0" w:firstLineChars="0"/>
              <w:jc w:val="center"/>
              <w:textAlignment w:val="center"/>
              <w:rPr>
                <w:rFonts w:eastAsia="宋体" w:cs="Times New Roman"/>
                <w:bCs/>
                <w:color w:val="000000"/>
                <w:sz w:val="21"/>
                <w:szCs w:val="21"/>
              </w:rPr>
            </w:pPr>
            <w:bookmarkStart w:id="72" w:name="_Toc94185474"/>
            <w:r>
              <w:rPr>
                <w:rFonts w:eastAsia="宋体" w:cs="Times New Roman"/>
                <w:bCs/>
                <w:color w:val="000000"/>
                <w:kern w:val="0"/>
                <w:sz w:val="21"/>
                <w:szCs w:val="21"/>
                <w:lang w:bidi="ar"/>
              </w:rPr>
              <w:t>序号</w:t>
            </w:r>
          </w:p>
        </w:tc>
        <w:tc>
          <w:tcPr>
            <w:tcW w:w="1176" w:type="pct"/>
            <w:shd w:val="clear" w:color="auto" w:fill="auto"/>
            <w:noWrap/>
            <w:vAlign w:val="center"/>
          </w:tcPr>
          <w:p>
            <w:pPr>
              <w:widowControl/>
              <w:adjustRightInd w:val="0"/>
              <w:snapToGrid w:val="0"/>
              <w:spacing w:line="240" w:lineRule="auto"/>
              <w:ind w:firstLine="0" w:firstLineChars="0"/>
              <w:jc w:val="center"/>
              <w:textAlignment w:val="center"/>
              <w:rPr>
                <w:rFonts w:eastAsia="宋体" w:cs="Times New Roman"/>
                <w:bCs/>
                <w:color w:val="000000"/>
                <w:sz w:val="21"/>
                <w:szCs w:val="21"/>
              </w:rPr>
            </w:pPr>
            <w:r>
              <w:rPr>
                <w:rFonts w:eastAsia="宋体" w:cs="Times New Roman"/>
                <w:bCs/>
                <w:color w:val="000000"/>
                <w:kern w:val="0"/>
                <w:sz w:val="21"/>
                <w:szCs w:val="21"/>
                <w:lang w:bidi="ar"/>
              </w:rPr>
              <w:t>税目</w:t>
            </w:r>
          </w:p>
        </w:tc>
        <w:tc>
          <w:tcPr>
            <w:tcW w:w="749" w:type="pct"/>
            <w:shd w:val="clear" w:color="auto" w:fill="auto"/>
            <w:vAlign w:val="center"/>
          </w:tcPr>
          <w:p>
            <w:pPr>
              <w:widowControl/>
              <w:adjustRightInd w:val="0"/>
              <w:snapToGrid w:val="0"/>
              <w:spacing w:line="240" w:lineRule="auto"/>
              <w:ind w:firstLine="0" w:firstLineChars="0"/>
              <w:jc w:val="center"/>
              <w:textAlignment w:val="center"/>
              <w:rPr>
                <w:rFonts w:eastAsia="宋体" w:cs="Times New Roman"/>
                <w:bCs/>
                <w:color w:val="000000"/>
                <w:sz w:val="21"/>
                <w:szCs w:val="21"/>
              </w:rPr>
            </w:pPr>
            <w:r>
              <w:rPr>
                <w:rFonts w:eastAsia="宋体" w:cs="Times New Roman"/>
                <w:bCs/>
                <w:color w:val="000000"/>
                <w:kern w:val="0"/>
                <w:sz w:val="21"/>
                <w:szCs w:val="21"/>
                <w:lang w:bidi="ar"/>
              </w:rPr>
              <w:t>应缴税额（元）</w:t>
            </w:r>
          </w:p>
        </w:tc>
        <w:tc>
          <w:tcPr>
            <w:tcW w:w="831" w:type="pct"/>
            <w:shd w:val="clear" w:color="auto" w:fill="auto"/>
            <w:vAlign w:val="center"/>
          </w:tcPr>
          <w:p>
            <w:pPr>
              <w:widowControl/>
              <w:adjustRightInd w:val="0"/>
              <w:snapToGrid w:val="0"/>
              <w:spacing w:line="240" w:lineRule="auto"/>
              <w:ind w:firstLine="0" w:firstLineChars="0"/>
              <w:jc w:val="center"/>
              <w:textAlignment w:val="center"/>
              <w:rPr>
                <w:rFonts w:eastAsia="宋体" w:cs="Times New Roman"/>
                <w:bCs/>
                <w:color w:val="000000"/>
                <w:sz w:val="21"/>
                <w:szCs w:val="21"/>
              </w:rPr>
            </w:pPr>
            <w:r>
              <w:rPr>
                <w:rFonts w:eastAsia="宋体" w:cs="Times New Roman"/>
                <w:bCs/>
                <w:color w:val="000000"/>
                <w:kern w:val="0"/>
                <w:sz w:val="21"/>
                <w:szCs w:val="21"/>
                <w:lang w:bidi="ar"/>
              </w:rPr>
              <w:t>减免税额（元）</w:t>
            </w:r>
          </w:p>
        </w:tc>
        <w:tc>
          <w:tcPr>
            <w:tcW w:w="848" w:type="pct"/>
          </w:tcPr>
          <w:p>
            <w:pPr>
              <w:widowControl/>
              <w:adjustRightInd w:val="0"/>
              <w:snapToGrid w:val="0"/>
              <w:spacing w:line="240" w:lineRule="auto"/>
              <w:ind w:firstLine="0" w:firstLineChars="0"/>
              <w:jc w:val="center"/>
              <w:textAlignment w:val="center"/>
              <w:rPr>
                <w:rFonts w:eastAsia="宋体" w:cs="Times New Roman"/>
                <w:bCs/>
                <w:color w:val="000000"/>
                <w:kern w:val="0"/>
                <w:sz w:val="21"/>
                <w:szCs w:val="21"/>
                <w:lang w:bidi="ar"/>
              </w:rPr>
            </w:pPr>
            <w:r>
              <w:rPr>
                <w:rFonts w:eastAsia="宋体" w:cs="Times New Roman"/>
                <w:bCs/>
                <w:color w:val="000000"/>
                <w:kern w:val="0"/>
                <w:sz w:val="21"/>
                <w:szCs w:val="21"/>
                <w:lang w:bidi="ar"/>
              </w:rPr>
              <w:t>实缴税额（元）</w:t>
            </w:r>
          </w:p>
        </w:tc>
        <w:tc>
          <w:tcPr>
            <w:tcW w:w="1013" w:type="pct"/>
            <w:shd w:val="clear" w:color="auto" w:fill="auto"/>
            <w:noWrap/>
            <w:vAlign w:val="center"/>
          </w:tcPr>
          <w:p>
            <w:pPr>
              <w:widowControl/>
              <w:adjustRightInd w:val="0"/>
              <w:snapToGrid w:val="0"/>
              <w:spacing w:line="240" w:lineRule="auto"/>
              <w:ind w:firstLine="0" w:firstLineChars="0"/>
              <w:jc w:val="center"/>
              <w:textAlignment w:val="center"/>
              <w:rPr>
                <w:rFonts w:eastAsia="宋体" w:cs="Times New Roman"/>
                <w:bCs/>
                <w:color w:val="000000"/>
                <w:sz w:val="21"/>
                <w:szCs w:val="21"/>
              </w:rPr>
            </w:pPr>
            <w:r>
              <w:rPr>
                <w:rFonts w:eastAsia="宋体" w:cs="Times New Roman"/>
                <w:bCs/>
                <w:color w:val="000000"/>
                <w:kern w:val="0"/>
                <w:sz w:val="21"/>
                <w:szCs w:val="21"/>
                <w:lang w:bidi="ar"/>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83" w:type="pct"/>
            <w:shd w:val="clear" w:color="auto" w:fill="auto"/>
            <w:noWrap/>
            <w:vAlign w:val="center"/>
          </w:tcPr>
          <w:p>
            <w:pPr>
              <w:widowControl/>
              <w:adjustRightInd w:val="0"/>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1</w:t>
            </w:r>
          </w:p>
        </w:tc>
        <w:tc>
          <w:tcPr>
            <w:tcW w:w="1176" w:type="pct"/>
            <w:shd w:val="clear" w:color="auto" w:fill="auto"/>
            <w:noWrap/>
            <w:vAlign w:val="bottom"/>
          </w:tcPr>
          <w:p>
            <w:pPr>
              <w:adjustRightInd w:val="0"/>
              <w:snapToGrid w:val="0"/>
              <w:spacing w:line="240" w:lineRule="auto"/>
              <w:ind w:firstLine="0" w:firstLineChars="0"/>
              <w:jc w:val="center"/>
              <w:rPr>
                <w:rFonts w:eastAsia="宋体" w:cs="Times New Roman"/>
                <w:color w:val="000000"/>
                <w:sz w:val="21"/>
                <w:szCs w:val="21"/>
              </w:rPr>
            </w:pPr>
            <w:r>
              <w:rPr>
                <w:rFonts w:eastAsia="宋体" w:cs="Times New Roman"/>
                <w:color w:val="000000"/>
                <w:sz w:val="21"/>
                <w:szCs w:val="21"/>
              </w:rPr>
              <w:t>二氧化硫（气）</w:t>
            </w:r>
          </w:p>
        </w:tc>
        <w:tc>
          <w:tcPr>
            <w:tcW w:w="749" w:type="pct"/>
            <w:shd w:val="clear" w:color="auto" w:fill="auto"/>
            <w:noWrap/>
            <w:vAlign w:val="center"/>
          </w:tcPr>
          <w:p>
            <w:pPr>
              <w:widowControl/>
              <w:adjustRightInd w:val="0"/>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sz w:val="21"/>
                <w:szCs w:val="21"/>
              </w:rPr>
              <w:t>15959.85</w:t>
            </w:r>
          </w:p>
        </w:tc>
        <w:tc>
          <w:tcPr>
            <w:tcW w:w="831" w:type="pct"/>
            <w:shd w:val="clear" w:color="auto" w:fill="auto"/>
            <w:noWrap/>
            <w:vAlign w:val="center"/>
          </w:tcPr>
          <w:p>
            <w:pPr>
              <w:widowControl/>
              <w:adjustRightInd w:val="0"/>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sz w:val="21"/>
                <w:szCs w:val="21"/>
              </w:rPr>
              <w:t>7530.73</w:t>
            </w:r>
          </w:p>
        </w:tc>
        <w:tc>
          <w:tcPr>
            <w:tcW w:w="848" w:type="pct"/>
            <w:vAlign w:val="center"/>
          </w:tcPr>
          <w:p>
            <w:pPr>
              <w:adjustRightInd w:val="0"/>
              <w:snapToGrid w:val="0"/>
              <w:spacing w:line="240" w:lineRule="auto"/>
              <w:ind w:firstLine="0" w:firstLineChars="0"/>
              <w:jc w:val="center"/>
              <w:rPr>
                <w:rFonts w:eastAsia="宋体" w:cs="Times New Roman"/>
                <w:color w:val="000000"/>
                <w:sz w:val="21"/>
                <w:szCs w:val="21"/>
              </w:rPr>
            </w:pPr>
            <w:r>
              <w:rPr>
                <w:rFonts w:eastAsia="宋体" w:cs="Times New Roman"/>
                <w:color w:val="000000"/>
                <w:sz w:val="21"/>
                <w:szCs w:val="21"/>
              </w:rPr>
              <w:t>8429.12</w:t>
            </w:r>
          </w:p>
        </w:tc>
        <w:tc>
          <w:tcPr>
            <w:tcW w:w="1013" w:type="pct"/>
            <w:shd w:val="clear" w:color="auto" w:fill="auto"/>
            <w:noWrap/>
            <w:vAlign w:val="center"/>
          </w:tcPr>
          <w:p>
            <w:pPr>
              <w:adjustRightInd w:val="0"/>
              <w:snapToGrid w:val="0"/>
              <w:spacing w:line="240" w:lineRule="auto"/>
              <w:ind w:firstLine="0" w:firstLineChars="0"/>
              <w:jc w:val="center"/>
              <w:rPr>
                <w:rFonts w:eastAsia="宋体" w:cs="Times New Roman"/>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83" w:type="pct"/>
            <w:shd w:val="clear" w:color="auto" w:fill="auto"/>
            <w:noWrap/>
            <w:vAlign w:val="center"/>
          </w:tcPr>
          <w:p>
            <w:pPr>
              <w:widowControl/>
              <w:adjustRightInd w:val="0"/>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2</w:t>
            </w:r>
          </w:p>
        </w:tc>
        <w:tc>
          <w:tcPr>
            <w:tcW w:w="1176" w:type="pct"/>
            <w:shd w:val="clear" w:color="auto" w:fill="auto"/>
            <w:noWrap/>
            <w:vAlign w:val="bottom"/>
          </w:tcPr>
          <w:p>
            <w:pPr>
              <w:adjustRightInd w:val="0"/>
              <w:snapToGrid w:val="0"/>
              <w:spacing w:line="240" w:lineRule="auto"/>
              <w:ind w:firstLine="0" w:firstLineChars="0"/>
              <w:jc w:val="center"/>
              <w:rPr>
                <w:rFonts w:eastAsia="宋体" w:cs="Times New Roman"/>
                <w:color w:val="000000"/>
                <w:sz w:val="21"/>
                <w:szCs w:val="21"/>
              </w:rPr>
            </w:pPr>
            <w:r>
              <w:rPr>
                <w:rFonts w:eastAsia="宋体" w:cs="Times New Roman"/>
                <w:color w:val="000000"/>
                <w:sz w:val="21"/>
                <w:szCs w:val="21"/>
              </w:rPr>
              <w:t>氮氧化物（气）</w:t>
            </w:r>
          </w:p>
        </w:tc>
        <w:tc>
          <w:tcPr>
            <w:tcW w:w="749" w:type="pct"/>
            <w:shd w:val="clear" w:color="auto" w:fill="auto"/>
            <w:noWrap/>
            <w:vAlign w:val="center"/>
          </w:tcPr>
          <w:p>
            <w:pPr>
              <w:widowControl/>
              <w:adjustRightInd w:val="0"/>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sz w:val="21"/>
                <w:szCs w:val="21"/>
              </w:rPr>
              <w:t>32380.55</w:t>
            </w:r>
          </w:p>
        </w:tc>
        <w:tc>
          <w:tcPr>
            <w:tcW w:w="831" w:type="pct"/>
            <w:shd w:val="clear" w:color="auto" w:fill="auto"/>
            <w:noWrap/>
            <w:vAlign w:val="center"/>
          </w:tcPr>
          <w:p>
            <w:pPr>
              <w:widowControl/>
              <w:adjustRightInd w:val="0"/>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sz w:val="21"/>
                <w:szCs w:val="21"/>
              </w:rPr>
              <w:t>13287.72</w:t>
            </w:r>
          </w:p>
        </w:tc>
        <w:tc>
          <w:tcPr>
            <w:tcW w:w="848" w:type="pct"/>
            <w:vAlign w:val="center"/>
          </w:tcPr>
          <w:p>
            <w:pPr>
              <w:adjustRightInd w:val="0"/>
              <w:snapToGrid w:val="0"/>
              <w:spacing w:line="240" w:lineRule="auto"/>
              <w:ind w:firstLine="0" w:firstLineChars="0"/>
              <w:jc w:val="center"/>
              <w:rPr>
                <w:rFonts w:eastAsia="宋体" w:cs="Times New Roman"/>
                <w:color w:val="000000"/>
                <w:sz w:val="21"/>
                <w:szCs w:val="21"/>
              </w:rPr>
            </w:pPr>
            <w:r>
              <w:rPr>
                <w:rFonts w:eastAsia="宋体" w:cs="Times New Roman"/>
                <w:color w:val="000000"/>
                <w:sz w:val="21"/>
                <w:szCs w:val="21"/>
              </w:rPr>
              <w:t>19092.83</w:t>
            </w:r>
          </w:p>
        </w:tc>
        <w:tc>
          <w:tcPr>
            <w:tcW w:w="1013" w:type="pct"/>
            <w:shd w:val="clear" w:color="auto" w:fill="auto"/>
            <w:noWrap/>
            <w:vAlign w:val="center"/>
          </w:tcPr>
          <w:p>
            <w:pPr>
              <w:adjustRightInd w:val="0"/>
              <w:snapToGrid w:val="0"/>
              <w:spacing w:line="240" w:lineRule="auto"/>
              <w:ind w:firstLine="0" w:firstLineChars="0"/>
              <w:jc w:val="center"/>
              <w:rPr>
                <w:rFonts w:eastAsia="宋体" w:cs="Times New Roman"/>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83" w:type="pct"/>
            <w:shd w:val="clear" w:color="auto" w:fill="auto"/>
            <w:noWrap/>
            <w:vAlign w:val="center"/>
          </w:tcPr>
          <w:p>
            <w:pPr>
              <w:widowControl/>
              <w:adjustRightInd w:val="0"/>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3</w:t>
            </w:r>
          </w:p>
        </w:tc>
        <w:tc>
          <w:tcPr>
            <w:tcW w:w="1176" w:type="pct"/>
            <w:shd w:val="clear" w:color="auto" w:fill="auto"/>
            <w:noWrap/>
            <w:vAlign w:val="bottom"/>
          </w:tcPr>
          <w:p>
            <w:pPr>
              <w:adjustRightInd w:val="0"/>
              <w:snapToGrid w:val="0"/>
              <w:spacing w:line="240" w:lineRule="auto"/>
              <w:ind w:firstLine="0" w:firstLineChars="0"/>
              <w:jc w:val="center"/>
              <w:rPr>
                <w:rFonts w:eastAsia="宋体" w:cs="Times New Roman"/>
                <w:color w:val="000000"/>
                <w:sz w:val="21"/>
                <w:szCs w:val="21"/>
              </w:rPr>
            </w:pPr>
            <w:r>
              <w:rPr>
                <w:rFonts w:eastAsia="宋体" w:cs="Times New Roman"/>
                <w:color w:val="000000"/>
                <w:sz w:val="21"/>
                <w:szCs w:val="21"/>
              </w:rPr>
              <w:t>一般性粉尘（气）</w:t>
            </w:r>
          </w:p>
        </w:tc>
        <w:tc>
          <w:tcPr>
            <w:tcW w:w="749" w:type="pct"/>
            <w:shd w:val="clear" w:color="auto" w:fill="auto"/>
            <w:noWrap/>
            <w:vAlign w:val="center"/>
          </w:tcPr>
          <w:p>
            <w:pPr>
              <w:widowControl/>
              <w:adjustRightInd w:val="0"/>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sz w:val="21"/>
                <w:szCs w:val="21"/>
              </w:rPr>
              <w:t>26036.20</w:t>
            </w:r>
          </w:p>
        </w:tc>
        <w:tc>
          <w:tcPr>
            <w:tcW w:w="831" w:type="pct"/>
            <w:shd w:val="clear" w:color="auto" w:fill="auto"/>
            <w:noWrap/>
            <w:vAlign w:val="center"/>
          </w:tcPr>
          <w:p>
            <w:pPr>
              <w:widowControl/>
              <w:adjustRightInd w:val="0"/>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sz w:val="21"/>
                <w:szCs w:val="21"/>
              </w:rPr>
              <w:t>4407.80</w:t>
            </w:r>
          </w:p>
        </w:tc>
        <w:tc>
          <w:tcPr>
            <w:tcW w:w="848" w:type="pct"/>
            <w:vAlign w:val="center"/>
          </w:tcPr>
          <w:p>
            <w:pPr>
              <w:adjustRightInd w:val="0"/>
              <w:snapToGrid w:val="0"/>
              <w:spacing w:line="240" w:lineRule="auto"/>
              <w:ind w:firstLine="0" w:firstLineChars="0"/>
              <w:jc w:val="center"/>
              <w:rPr>
                <w:rFonts w:eastAsia="宋体" w:cs="Times New Roman"/>
                <w:color w:val="000000"/>
                <w:sz w:val="21"/>
                <w:szCs w:val="21"/>
              </w:rPr>
            </w:pPr>
            <w:r>
              <w:rPr>
                <w:rFonts w:eastAsia="宋体" w:cs="Times New Roman"/>
                <w:color w:val="000000"/>
                <w:sz w:val="21"/>
                <w:szCs w:val="21"/>
              </w:rPr>
              <w:t>21637.51</w:t>
            </w:r>
          </w:p>
        </w:tc>
        <w:tc>
          <w:tcPr>
            <w:tcW w:w="1013" w:type="pct"/>
            <w:shd w:val="clear" w:color="auto" w:fill="auto"/>
            <w:noWrap/>
            <w:vAlign w:val="center"/>
          </w:tcPr>
          <w:p>
            <w:pPr>
              <w:adjustRightInd w:val="0"/>
              <w:snapToGrid w:val="0"/>
              <w:spacing w:line="240" w:lineRule="auto"/>
              <w:ind w:firstLine="0" w:firstLineChars="0"/>
              <w:jc w:val="center"/>
              <w:rPr>
                <w:rFonts w:eastAsia="宋体" w:cs="Times New Roman"/>
                <w:color w:val="000000"/>
                <w:sz w:val="21"/>
                <w:szCs w:val="21"/>
              </w:rPr>
            </w:pPr>
            <w:r>
              <w:rPr>
                <w:rFonts w:eastAsia="宋体" w:cs="Times New Roman"/>
                <w:color w:val="000000"/>
                <w:sz w:val="21"/>
                <w:szCs w:val="21"/>
              </w:rPr>
              <w:t>含9.11元滞纳金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83" w:type="pct"/>
            <w:shd w:val="clear" w:color="auto" w:fill="auto"/>
            <w:noWrap/>
            <w:vAlign w:val="center"/>
          </w:tcPr>
          <w:p>
            <w:pPr>
              <w:widowControl/>
              <w:adjustRightInd w:val="0"/>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kern w:val="0"/>
                <w:sz w:val="21"/>
                <w:szCs w:val="21"/>
                <w:lang w:bidi="ar"/>
              </w:rPr>
              <w:t>4</w:t>
            </w:r>
          </w:p>
        </w:tc>
        <w:tc>
          <w:tcPr>
            <w:tcW w:w="1176" w:type="pct"/>
            <w:shd w:val="clear" w:color="auto" w:fill="auto"/>
            <w:noWrap/>
            <w:vAlign w:val="bottom"/>
          </w:tcPr>
          <w:p>
            <w:pPr>
              <w:adjustRightInd w:val="0"/>
              <w:snapToGrid w:val="0"/>
              <w:spacing w:line="240" w:lineRule="auto"/>
              <w:ind w:firstLine="0" w:firstLineChars="0"/>
              <w:jc w:val="center"/>
              <w:rPr>
                <w:rFonts w:eastAsia="宋体" w:cs="Times New Roman"/>
                <w:color w:val="000000"/>
                <w:sz w:val="21"/>
                <w:szCs w:val="21"/>
              </w:rPr>
            </w:pPr>
            <w:r>
              <w:rPr>
                <w:rFonts w:eastAsia="宋体" w:cs="Times New Roman"/>
                <w:color w:val="000000"/>
                <w:sz w:val="21"/>
                <w:szCs w:val="21"/>
              </w:rPr>
              <w:t>烟尘（气）</w:t>
            </w:r>
          </w:p>
        </w:tc>
        <w:tc>
          <w:tcPr>
            <w:tcW w:w="749" w:type="pct"/>
            <w:shd w:val="clear" w:color="auto" w:fill="auto"/>
            <w:noWrap/>
            <w:vAlign w:val="center"/>
          </w:tcPr>
          <w:p>
            <w:pPr>
              <w:widowControl/>
              <w:adjustRightInd w:val="0"/>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sz w:val="21"/>
                <w:szCs w:val="21"/>
              </w:rPr>
              <w:t>2162.72</w:t>
            </w:r>
          </w:p>
        </w:tc>
        <w:tc>
          <w:tcPr>
            <w:tcW w:w="831" w:type="pct"/>
            <w:shd w:val="clear" w:color="auto" w:fill="auto"/>
            <w:noWrap/>
            <w:vAlign w:val="center"/>
          </w:tcPr>
          <w:p>
            <w:pPr>
              <w:widowControl/>
              <w:adjustRightInd w:val="0"/>
              <w:snapToGrid w:val="0"/>
              <w:spacing w:line="240" w:lineRule="auto"/>
              <w:ind w:firstLine="0" w:firstLineChars="0"/>
              <w:jc w:val="center"/>
              <w:textAlignment w:val="center"/>
              <w:rPr>
                <w:rFonts w:eastAsia="宋体" w:cs="Times New Roman"/>
                <w:color w:val="000000"/>
                <w:sz w:val="21"/>
                <w:szCs w:val="21"/>
              </w:rPr>
            </w:pPr>
            <w:r>
              <w:rPr>
                <w:rFonts w:eastAsia="宋体" w:cs="Times New Roman"/>
                <w:color w:val="000000"/>
                <w:sz w:val="21"/>
                <w:szCs w:val="21"/>
              </w:rPr>
              <w:t>925.76</w:t>
            </w:r>
          </w:p>
        </w:tc>
        <w:tc>
          <w:tcPr>
            <w:tcW w:w="848" w:type="pct"/>
            <w:vAlign w:val="center"/>
          </w:tcPr>
          <w:p>
            <w:pPr>
              <w:adjustRightInd w:val="0"/>
              <w:snapToGrid w:val="0"/>
              <w:spacing w:line="240" w:lineRule="auto"/>
              <w:ind w:firstLine="0" w:firstLineChars="0"/>
              <w:jc w:val="center"/>
              <w:rPr>
                <w:rFonts w:eastAsia="宋体" w:cs="Times New Roman"/>
                <w:color w:val="000000"/>
                <w:sz w:val="21"/>
                <w:szCs w:val="21"/>
              </w:rPr>
            </w:pPr>
            <w:r>
              <w:rPr>
                <w:rFonts w:eastAsia="宋体" w:cs="Times New Roman"/>
                <w:color w:val="000000"/>
                <w:sz w:val="21"/>
                <w:szCs w:val="21"/>
              </w:rPr>
              <w:t>1236.96</w:t>
            </w:r>
          </w:p>
        </w:tc>
        <w:tc>
          <w:tcPr>
            <w:tcW w:w="1013" w:type="pct"/>
            <w:shd w:val="clear" w:color="auto" w:fill="auto"/>
            <w:noWrap/>
            <w:vAlign w:val="center"/>
          </w:tcPr>
          <w:p>
            <w:pPr>
              <w:adjustRightInd w:val="0"/>
              <w:snapToGrid w:val="0"/>
              <w:spacing w:line="240" w:lineRule="auto"/>
              <w:ind w:firstLine="0" w:firstLineChars="0"/>
              <w:jc w:val="center"/>
              <w:rPr>
                <w:rFonts w:eastAsia="宋体" w:cs="Times New Roman"/>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60" w:type="pct"/>
            <w:gridSpan w:val="2"/>
            <w:shd w:val="clear" w:color="auto" w:fill="auto"/>
            <w:noWrap/>
            <w:vAlign w:val="center"/>
          </w:tcPr>
          <w:p>
            <w:pPr>
              <w:widowControl/>
              <w:adjustRightInd w:val="0"/>
              <w:snapToGrid w:val="0"/>
              <w:spacing w:line="240" w:lineRule="auto"/>
              <w:ind w:firstLine="0" w:firstLineChars="0"/>
              <w:jc w:val="center"/>
              <w:textAlignment w:val="center"/>
              <w:rPr>
                <w:rFonts w:eastAsia="宋体" w:cs="Times New Roman"/>
                <w:color w:val="000000"/>
                <w:kern w:val="0"/>
                <w:sz w:val="21"/>
                <w:szCs w:val="21"/>
                <w:lang w:bidi="ar"/>
              </w:rPr>
            </w:pPr>
            <w:r>
              <w:rPr>
                <w:rFonts w:eastAsia="宋体" w:cs="Times New Roman"/>
                <w:color w:val="000000"/>
                <w:kern w:val="0"/>
                <w:sz w:val="21"/>
                <w:szCs w:val="21"/>
                <w:lang w:bidi="ar"/>
              </w:rPr>
              <w:t>合计</w:t>
            </w:r>
          </w:p>
        </w:tc>
        <w:tc>
          <w:tcPr>
            <w:tcW w:w="749" w:type="pct"/>
            <w:shd w:val="clear" w:color="auto" w:fill="auto"/>
            <w:noWrap/>
            <w:vAlign w:val="center"/>
          </w:tcPr>
          <w:p>
            <w:pPr>
              <w:adjustRightInd w:val="0"/>
              <w:snapToGrid w:val="0"/>
              <w:spacing w:line="240" w:lineRule="auto"/>
              <w:ind w:firstLine="0" w:firstLineChars="0"/>
              <w:jc w:val="center"/>
              <w:rPr>
                <w:rFonts w:eastAsia="宋体" w:cs="Times New Roman"/>
                <w:color w:val="000000"/>
                <w:sz w:val="21"/>
                <w:szCs w:val="21"/>
              </w:rPr>
            </w:pPr>
            <w:r>
              <w:rPr>
                <w:rFonts w:eastAsia="宋体" w:cs="Times New Roman"/>
                <w:color w:val="000000"/>
                <w:sz w:val="21"/>
                <w:szCs w:val="21"/>
              </w:rPr>
              <w:t>76539.32</w:t>
            </w:r>
          </w:p>
        </w:tc>
        <w:tc>
          <w:tcPr>
            <w:tcW w:w="831" w:type="pct"/>
            <w:shd w:val="clear" w:color="auto" w:fill="auto"/>
            <w:noWrap/>
            <w:vAlign w:val="center"/>
          </w:tcPr>
          <w:p>
            <w:pPr>
              <w:adjustRightInd w:val="0"/>
              <w:snapToGrid w:val="0"/>
              <w:spacing w:line="240" w:lineRule="auto"/>
              <w:ind w:firstLine="0" w:firstLineChars="0"/>
              <w:jc w:val="center"/>
              <w:rPr>
                <w:rFonts w:eastAsia="宋体" w:cs="Times New Roman"/>
                <w:color w:val="000000"/>
                <w:sz w:val="21"/>
                <w:szCs w:val="21"/>
              </w:rPr>
            </w:pPr>
            <w:r>
              <w:rPr>
                <w:rFonts w:eastAsia="宋体" w:cs="Times New Roman"/>
                <w:color w:val="000000"/>
                <w:sz w:val="21"/>
                <w:szCs w:val="21"/>
              </w:rPr>
              <w:t>26152.01</w:t>
            </w:r>
          </w:p>
        </w:tc>
        <w:tc>
          <w:tcPr>
            <w:tcW w:w="848" w:type="pct"/>
            <w:vAlign w:val="center"/>
          </w:tcPr>
          <w:p>
            <w:pPr>
              <w:adjustRightInd w:val="0"/>
              <w:snapToGrid w:val="0"/>
              <w:spacing w:line="240" w:lineRule="auto"/>
              <w:ind w:firstLine="0" w:firstLineChars="0"/>
              <w:jc w:val="center"/>
              <w:rPr>
                <w:rFonts w:eastAsia="宋体" w:cs="Times New Roman"/>
                <w:color w:val="000000"/>
                <w:sz w:val="21"/>
                <w:szCs w:val="21"/>
              </w:rPr>
            </w:pPr>
            <w:r>
              <w:rPr>
                <w:rFonts w:eastAsia="宋体" w:cs="Times New Roman"/>
                <w:color w:val="000000"/>
                <w:sz w:val="21"/>
                <w:szCs w:val="21"/>
              </w:rPr>
              <w:t>50396.42</w:t>
            </w:r>
          </w:p>
        </w:tc>
        <w:tc>
          <w:tcPr>
            <w:tcW w:w="1013" w:type="pct"/>
            <w:shd w:val="clear" w:color="auto" w:fill="auto"/>
            <w:noWrap/>
            <w:vAlign w:val="center"/>
          </w:tcPr>
          <w:p>
            <w:pPr>
              <w:adjustRightInd w:val="0"/>
              <w:snapToGrid w:val="0"/>
              <w:spacing w:line="240" w:lineRule="auto"/>
              <w:ind w:firstLine="0" w:firstLineChars="0"/>
              <w:jc w:val="center"/>
              <w:rPr>
                <w:rFonts w:eastAsia="宋体" w:cs="Times New Roman"/>
                <w:color w:val="000000"/>
                <w:sz w:val="21"/>
                <w:szCs w:val="21"/>
              </w:rPr>
            </w:pPr>
          </w:p>
        </w:tc>
      </w:tr>
    </w:tbl>
    <w:p>
      <w:pPr>
        <w:pStyle w:val="3"/>
        <w:rPr>
          <w:rFonts w:cs="Times New Roman"/>
          <w:szCs w:val="28"/>
        </w:rPr>
      </w:pPr>
      <w:bookmarkStart w:id="73" w:name="_Toc127266648"/>
      <w:bookmarkStart w:id="74" w:name="_Toc97540956"/>
      <w:r>
        <w:rPr>
          <w:rFonts w:cs="Times New Roman"/>
          <w:szCs w:val="28"/>
        </w:rPr>
        <w:t>4.3 环境污染责任保险投保情况</w:t>
      </w:r>
      <w:bookmarkEnd w:id="72"/>
      <w:bookmarkEnd w:id="73"/>
      <w:bookmarkEnd w:id="74"/>
    </w:p>
    <w:p>
      <w:pPr>
        <w:ind w:firstLine="480"/>
      </w:pPr>
      <w:bookmarkStart w:id="75" w:name="_Toc97540957"/>
      <w:bookmarkStart w:id="76" w:name="_Toc94185475"/>
      <w:r>
        <w:t>202</w:t>
      </w:r>
      <w:r>
        <w:rPr>
          <w:rFonts w:hint="eastAsia"/>
        </w:rPr>
        <w:t>2</w:t>
      </w:r>
      <w:r>
        <w:t>年，</w:t>
      </w:r>
      <w:r>
        <w:rPr>
          <w:rFonts w:hint="eastAsia"/>
        </w:rPr>
        <w:t>曙光金铜矿</w:t>
      </w:r>
      <w:r>
        <w:t>投保</w:t>
      </w:r>
      <w:r>
        <w:rPr>
          <w:rFonts w:hint="eastAsia"/>
        </w:rPr>
        <w:t>中国太平洋财产保险股份有限公司的</w:t>
      </w:r>
      <w:r>
        <w:t>环境污染责任险</w:t>
      </w:r>
      <w:r>
        <w:rPr>
          <w:rFonts w:hint="eastAsia"/>
        </w:rPr>
        <w:t>，保险费5万元，累计赔偿限额为250万元，保险期限为2022年4月22日至2023年2月21日。</w:t>
      </w:r>
    </w:p>
    <w:p>
      <w:pPr>
        <w:pStyle w:val="3"/>
        <w:rPr>
          <w:rFonts w:cs="Times New Roman"/>
          <w:szCs w:val="28"/>
        </w:rPr>
      </w:pPr>
      <w:bookmarkStart w:id="77" w:name="_Toc127266649"/>
      <w:r>
        <w:rPr>
          <w:rFonts w:cs="Times New Roman"/>
          <w:szCs w:val="28"/>
        </w:rPr>
        <w:t>4.4 环保信用评价结果</w:t>
      </w:r>
      <w:bookmarkEnd w:id="75"/>
      <w:bookmarkEnd w:id="76"/>
      <w:bookmarkEnd w:id="77"/>
    </w:p>
    <w:p>
      <w:pPr>
        <w:ind w:firstLine="480"/>
        <w:rPr>
          <w:rFonts w:cs="Times New Roman"/>
        </w:rPr>
      </w:pPr>
      <w:r>
        <w:rPr>
          <w:rFonts w:cs="Times New Roman"/>
        </w:rPr>
        <w:t>根据《</w:t>
      </w:r>
      <w:r>
        <w:rPr>
          <w:rFonts w:hint="eastAsia" w:cs="Times New Roman"/>
        </w:rPr>
        <w:t>吉林省企业环境信用评价办法</w:t>
      </w:r>
      <w:r>
        <w:rPr>
          <w:rFonts w:cs="Times New Roman"/>
        </w:rPr>
        <w:t>》，对企业开展环境信用评价，采取等级评价、挂牌公示，累计记分、改正核销，信息共享、联合奖惩的机制。企业环境信用按照良好、一般、警示、不良四个等级进行评价。根据《吉林省企业环境违法违规行为记分标准》，无记分记录的企业为环境信用良好企业，以绿牌标识；累计记1分至6分的企业为环境信用一般企业，以蓝牌标识；累计记7分至11分的企业为环境信用警示企业，以黄牌标识；累计记12分以上的企业为环境信用不良企业，以红牌标识。</w:t>
      </w:r>
    </w:p>
    <w:p>
      <w:pPr>
        <w:ind w:firstLine="480"/>
        <w:rPr>
          <w:rFonts w:cs="Times New Roman"/>
        </w:rPr>
      </w:pPr>
      <w:r>
        <w:rPr>
          <w:rFonts w:cs="Times New Roman"/>
        </w:rPr>
        <w:t>企业环境信用评价信息与吉林省信用信息数据交换平台共享，并在“信用吉林”网站公开。公众和企业、有关机构和行政机关可以自行登录省、市（州）环保部门官方门户网站或“信用吉林”网站，查询企业环境违法违规行为信息和企业环境信用等级情况。</w:t>
      </w:r>
    </w:p>
    <w:p>
      <w:pPr>
        <w:ind w:firstLine="480"/>
        <w:rPr>
          <w:rFonts w:cs="Times New Roman"/>
        </w:rPr>
      </w:pPr>
      <w:r>
        <w:rPr>
          <w:rFonts w:hint="eastAsia" w:cs="Times New Roman"/>
        </w:rPr>
        <w:t>曙光金铜矿不在延边州生态环境局公布的2022年《</w:t>
      </w:r>
      <w:r>
        <w:fldChar w:fldCharType="begin"/>
      </w:r>
      <w:r>
        <w:instrText xml:space="preserve"> HYPERLINK "http://zfxxgk.yanbian.gov.cn/gzbm/cyqzjj/xxgkml/202301/W020230104348725256050.xlsx" </w:instrText>
      </w:r>
      <w:r>
        <w:fldChar w:fldCharType="separate"/>
      </w:r>
      <w:r>
        <w:rPr>
          <w:rFonts w:hint="eastAsia" w:cs="Times New Roman"/>
        </w:rPr>
        <w:t>延边州企业环境信用评价记分、核销情况统计公示表</w:t>
      </w:r>
      <w:r>
        <w:rPr>
          <w:rFonts w:hint="eastAsia" w:cs="Times New Roman"/>
        </w:rPr>
        <w:fldChar w:fldCharType="end"/>
      </w:r>
      <w:r>
        <w:rPr>
          <w:rFonts w:hint="eastAsia" w:cs="Times New Roman"/>
        </w:rPr>
        <w:t>》中。在“信用中国（吉林）”网站，未</w:t>
      </w:r>
      <w:r>
        <w:rPr>
          <w:rFonts w:cs="Times New Roman"/>
        </w:rPr>
        <w:t>查询</w:t>
      </w:r>
      <w:r>
        <w:rPr>
          <w:rFonts w:hint="eastAsia" w:cs="Times New Roman"/>
        </w:rPr>
        <w:t>到曙光金铜矿2022年任何</w:t>
      </w:r>
      <w:r>
        <w:rPr>
          <w:rFonts w:cs="Times New Roman"/>
        </w:rPr>
        <w:t>环境违法违规行为信息</w:t>
      </w:r>
      <w:r>
        <w:rPr>
          <w:rFonts w:hint="eastAsia" w:cs="Times New Roman"/>
        </w:rPr>
        <w:t>，同时曙光金铜矿不在该网站失信黑名单中</w:t>
      </w:r>
      <w:r>
        <w:rPr>
          <w:rFonts w:cs="Times New Roman"/>
        </w:rPr>
        <w:t>。</w:t>
      </w:r>
    </w:p>
    <w:p>
      <w:pPr>
        <w:pStyle w:val="66"/>
        <w:shd w:val="clear" w:color="auto" w:fill="FFFFFF"/>
        <w:spacing w:line="540" w:lineRule="atLeast"/>
        <w:ind w:firstLine="540"/>
        <w:rPr>
          <w:rFonts w:eastAsia="微软雅黑" w:cs="Times New Roman"/>
          <w:color w:val="000000"/>
          <w:sz w:val="27"/>
          <w:szCs w:val="27"/>
        </w:rPr>
        <w:sectPr>
          <w:pgSz w:w="11906" w:h="16838"/>
          <w:pgMar w:top="1440" w:right="1797" w:bottom="1440" w:left="1797" w:header="851" w:footer="992" w:gutter="0"/>
          <w:cols w:space="425" w:num="1"/>
          <w:docGrid w:type="lines" w:linePitch="312" w:charSpace="0"/>
        </w:sectPr>
      </w:pPr>
    </w:p>
    <w:p>
      <w:pPr>
        <w:pStyle w:val="2"/>
        <w:spacing w:after="0"/>
        <w:rPr>
          <w:rFonts w:cs="Times New Roman"/>
          <w:sz w:val="30"/>
          <w:szCs w:val="30"/>
        </w:rPr>
      </w:pPr>
      <w:bookmarkStart w:id="78" w:name="_Toc94185476"/>
      <w:bookmarkStart w:id="79" w:name="_Toc127266650"/>
      <w:bookmarkStart w:id="80" w:name="_Toc97540958"/>
      <w:r>
        <w:rPr>
          <w:rFonts w:cs="Times New Roman"/>
          <w:sz w:val="30"/>
          <w:szCs w:val="30"/>
        </w:rPr>
        <w:t>5污染物产生、治理与排放信息</w:t>
      </w:r>
      <w:bookmarkEnd w:id="78"/>
      <w:bookmarkEnd w:id="79"/>
      <w:bookmarkEnd w:id="80"/>
    </w:p>
    <w:p>
      <w:pPr>
        <w:pStyle w:val="3"/>
        <w:rPr>
          <w:rFonts w:cs="Times New Roman"/>
          <w:szCs w:val="28"/>
        </w:rPr>
      </w:pPr>
      <w:bookmarkStart w:id="81" w:name="_Toc127266651"/>
      <w:bookmarkStart w:id="82" w:name="_Toc94185477"/>
      <w:bookmarkStart w:id="83" w:name="_Toc97540959"/>
      <w:r>
        <w:rPr>
          <w:rFonts w:cs="Times New Roman"/>
          <w:szCs w:val="28"/>
        </w:rPr>
        <w:t>5.1 污染防治设施信息</w:t>
      </w:r>
      <w:bookmarkEnd w:id="81"/>
      <w:bookmarkEnd w:id="82"/>
      <w:bookmarkEnd w:id="83"/>
    </w:p>
    <w:p>
      <w:pPr>
        <w:pStyle w:val="4"/>
        <w:rPr>
          <w:rFonts w:cs="Times New Roman"/>
        </w:rPr>
      </w:pPr>
      <w:bookmarkStart w:id="84" w:name="_Toc380682312"/>
      <w:bookmarkStart w:id="85" w:name="_Toc94185478"/>
      <w:bookmarkStart w:id="86" w:name="_Toc380682311"/>
      <w:r>
        <w:rPr>
          <w:rFonts w:cs="Times New Roman"/>
        </w:rPr>
        <w:t>5.1.1废水污染防治</w:t>
      </w:r>
      <w:bookmarkEnd w:id="84"/>
      <w:r>
        <w:rPr>
          <w:rFonts w:cs="Times New Roman"/>
        </w:rPr>
        <w:t>设施</w:t>
      </w:r>
      <w:bookmarkEnd w:id="85"/>
    </w:p>
    <w:p>
      <w:pPr>
        <w:adjustRightInd w:val="0"/>
        <w:snapToGrid w:val="0"/>
        <w:ind w:firstLine="480"/>
      </w:pPr>
      <w:r>
        <w:t>曙光金铜矿产生的废水主要有采矿矿</w:t>
      </w:r>
      <w:r>
        <w:rPr>
          <w:rFonts w:hint="eastAsia"/>
        </w:rPr>
        <w:t>井</w:t>
      </w:r>
      <w:r>
        <w:t>涌水、选矿废水、车间冲洗水、</w:t>
      </w:r>
      <w:r>
        <w:rPr>
          <w:rFonts w:hint="eastAsia"/>
        </w:rPr>
        <w:t>废石场淋溶水、</w:t>
      </w:r>
      <w:r>
        <w:t>生活污水</w:t>
      </w:r>
      <w:r>
        <w:rPr>
          <w:rFonts w:hint="eastAsia"/>
        </w:rPr>
        <w:t>、化验室综合污水</w:t>
      </w:r>
      <w:r>
        <w:t>等。</w:t>
      </w:r>
    </w:p>
    <w:p>
      <w:pPr>
        <w:adjustRightInd w:val="0"/>
        <w:snapToGrid w:val="0"/>
        <w:ind w:firstLine="480"/>
      </w:pPr>
      <w:r>
        <w:rPr>
          <w:rFonts w:hint="eastAsia"/>
        </w:rPr>
        <w:t>矿井涌水经地面沉淀池处理后部分用于露天采场降尘，部分用于选矿工艺的补充水。选矿废水经沉淀处理后全部返回生产工序循环利用。废石场淋溶水产生量较少，收集后自然蒸发或回用于选矿工艺。生活污水经多介质生物滤池（PBR）处理达到《污水综合排放标准》（GB8978-1996）中二级标准后用于矿区绿化、洒水降尘。化验室综合污水经新建的污水处理系统处理后，厂内利用，不外排。</w:t>
      </w:r>
    </w:p>
    <w:p>
      <w:pPr>
        <w:adjustRightInd w:val="0"/>
        <w:snapToGrid w:val="0"/>
        <w:ind w:firstLine="480"/>
        <w:jc w:val="left"/>
        <w:rPr>
          <w:rFonts w:cs="Times New Roman"/>
        </w:rPr>
      </w:pPr>
      <w:r>
        <w:rPr>
          <w:rFonts w:cs="Times New Roman"/>
        </w:rPr>
        <w:t>废水污染防治措施具体情况见表5.1-1。</w:t>
      </w:r>
    </w:p>
    <w:p>
      <w:pPr>
        <w:ind w:firstLine="0" w:firstLineChars="0"/>
        <w:jc w:val="center"/>
        <w:rPr>
          <w:rFonts w:eastAsia="黑体" w:cs="Times New Roman"/>
        </w:rPr>
      </w:pPr>
      <w:r>
        <w:rPr>
          <w:rFonts w:eastAsia="黑体" w:cs="Times New Roman"/>
        </w:rPr>
        <w:t>表5.1-1</w:t>
      </w:r>
      <w:r>
        <w:rPr>
          <w:rFonts w:hint="eastAsia" w:eastAsia="黑体" w:cs="Times New Roman"/>
        </w:rPr>
        <w:t xml:space="preserve"> </w:t>
      </w:r>
      <w:r>
        <w:rPr>
          <w:rFonts w:eastAsia="黑体" w:cs="Times New Roman"/>
        </w:rPr>
        <w:t xml:space="preserve"> 废水污染防治设施信息表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588"/>
        <w:gridCol w:w="1002"/>
        <w:gridCol w:w="1209"/>
        <w:gridCol w:w="1080"/>
        <w:gridCol w:w="1573"/>
        <w:gridCol w:w="1011"/>
        <w:gridCol w:w="980"/>
        <w:gridCol w:w="9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12" w:hRule="atLeast"/>
          <w:jc w:val="center"/>
        </w:trPr>
        <w:tc>
          <w:tcPr>
            <w:tcW w:w="349"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序</w:t>
            </w:r>
          </w:p>
          <w:p>
            <w:pPr>
              <w:snapToGrid w:val="0"/>
              <w:spacing w:line="240" w:lineRule="auto"/>
              <w:ind w:firstLine="0" w:firstLineChars="0"/>
              <w:jc w:val="center"/>
              <w:rPr>
                <w:rFonts w:eastAsia="宋体" w:cs="Times New Roman"/>
                <w:sz w:val="21"/>
                <w:szCs w:val="21"/>
              </w:rPr>
            </w:pPr>
            <w:r>
              <w:rPr>
                <w:rFonts w:eastAsia="宋体" w:cs="Times New Roman"/>
                <w:sz w:val="21"/>
                <w:szCs w:val="21"/>
              </w:rPr>
              <w:t>号</w:t>
            </w:r>
          </w:p>
        </w:tc>
        <w:tc>
          <w:tcPr>
            <w:tcW w:w="595"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治理设施名称</w:t>
            </w:r>
          </w:p>
        </w:tc>
        <w:tc>
          <w:tcPr>
            <w:tcW w:w="718"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产污环节</w:t>
            </w:r>
          </w:p>
        </w:tc>
        <w:tc>
          <w:tcPr>
            <w:tcW w:w="641"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处理的主要污染物</w:t>
            </w:r>
          </w:p>
        </w:tc>
        <w:tc>
          <w:tcPr>
            <w:tcW w:w="934"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排放去向</w:t>
            </w:r>
          </w:p>
        </w:tc>
        <w:tc>
          <w:tcPr>
            <w:tcW w:w="600"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排放口名称</w:t>
            </w:r>
          </w:p>
        </w:tc>
        <w:tc>
          <w:tcPr>
            <w:tcW w:w="582"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排放口编号</w:t>
            </w:r>
          </w:p>
        </w:tc>
        <w:tc>
          <w:tcPr>
            <w:tcW w:w="580"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排放口类型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1104" w:hRule="atLeast"/>
          <w:jc w:val="center"/>
        </w:trPr>
        <w:tc>
          <w:tcPr>
            <w:tcW w:w="349"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1</w:t>
            </w:r>
          </w:p>
        </w:tc>
        <w:tc>
          <w:tcPr>
            <w:tcW w:w="595"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多介质生物滤池</w:t>
            </w:r>
          </w:p>
        </w:tc>
        <w:tc>
          <w:tcPr>
            <w:tcW w:w="718"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职工工作和生活产生的污水</w:t>
            </w:r>
          </w:p>
        </w:tc>
        <w:tc>
          <w:tcPr>
            <w:tcW w:w="641" w:type="pct"/>
            <w:vAlign w:val="center"/>
          </w:tcPr>
          <w:p>
            <w:pPr>
              <w:snapToGrid w:val="0"/>
              <w:spacing w:line="240" w:lineRule="auto"/>
              <w:ind w:firstLine="0" w:firstLineChars="0"/>
              <w:jc w:val="center"/>
              <w:rPr>
                <w:rFonts w:eastAsia="宋体" w:cs="Times New Roman"/>
                <w:sz w:val="21"/>
                <w:szCs w:val="21"/>
              </w:rPr>
            </w:pPr>
            <w:r>
              <w:rPr>
                <w:rFonts w:eastAsia="宋体" w:cs="Times New Roman"/>
                <w:kern w:val="0"/>
                <w:sz w:val="21"/>
                <w:szCs w:val="21"/>
              </w:rPr>
              <w:t>COD、BOD</w:t>
            </w:r>
            <w:r>
              <w:rPr>
                <w:rFonts w:eastAsia="宋体" w:cs="Times New Roman"/>
                <w:kern w:val="0"/>
                <w:sz w:val="21"/>
                <w:szCs w:val="21"/>
                <w:vertAlign w:val="subscript"/>
              </w:rPr>
              <w:t>5</w:t>
            </w:r>
            <w:r>
              <w:rPr>
                <w:rFonts w:eastAsia="宋体" w:cs="Times New Roman"/>
                <w:kern w:val="0"/>
                <w:sz w:val="21"/>
                <w:szCs w:val="21"/>
              </w:rPr>
              <w:t>、SS、氨氮、总氮、总磷</w:t>
            </w:r>
          </w:p>
        </w:tc>
        <w:tc>
          <w:tcPr>
            <w:tcW w:w="934"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用于矿区绿化、洒水降尘</w:t>
            </w:r>
          </w:p>
        </w:tc>
        <w:tc>
          <w:tcPr>
            <w:tcW w:w="600" w:type="pct"/>
            <w:vAlign w:val="center"/>
          </w:tcPr>
          <w:p>
            <w:pPr>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w:t>
            </w:r>
          </w:p>
        </w:tc>
        <w:tc>
          <w:tcPr>
            <w:tcW w:w="582"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w:t>
            </w:r>
          </w:p>
        </w:tc>
        <w:tc>
          <w:tcPr>
            <w:tcW w:w="580"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89" w:hRule="atLeast"/>
          <w:jc w:val="center"/>
        </w:trPr>
        <w:tc>
          <w:tcPr>
            <w:tcW w:w="349"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2</w:t>
            </w:r>
          </w:p>
        </w:tc>
        <w:tc>
          <w:tcPr>
            <w:tcW w:w="595"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化验室污水处理系统</w:t>
            </w:r>
          </w:p>
        </w:tc>
        <w:tc>
          <w:tcPr>
            <w:tcW w:w="718"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化验室综合污水</w:t>
            </w:r>
          </w:p>
        </w:tc>
        <w:tc>
          <w:tcPr>
            <w:tcW w:w="641" w:type="pct"/>
            <w:vAlign w:val="center"/>
          </w:tcPr>
          <w:p>
            <w:pPr>
              <w:snapToGrid w:val="0"/>
              <w:spacing w:line="240" w:lineRule="auto"/>
              <w:ind w:firstLine="0" w:firstLineChars="0"/>
              <w:jc w:val="center"/>
              <w:rPr>
                <w:rFonts w:eastAsia="宋体" w:cs="Times New Roman"/>
                <w:kern w:val="0"/>
                <w:sz w:val="21"/>
                <w:szCs w:val="21"/>
              </w:rPr>
            </w:pPr>
            <w:r>
              <w:rPr>
                <w:rFonts w:eastAsia="宋体" w:cs="Times New Roman"/>
                <w:sz w:val="21"/>
                <w:szCs w:val="21"/>
              </w:rPr>
              <w:t>有机类、无机类、生物类</w:t>
            </w:r>
          </w:p>
        </w:tc>
        <w:tc>
          <w:tcPr>
            <w:tcW w:w="934"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厂内利用，不外排</w:t>
            </w:r>
          </w:p>
        </w:tc>
        <w:tc>
          <w:tcPr>
            <w:tcW w:w="600" w:type="pct"/>
            <w:vAlign w:val="center"/>
          </w:tcPr>
          <w:p>
            <w:pPr>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w:t>
            </w:r>
          </w:p>
        </w:tc>
        <w:tc>
          <w:tcPr>
            <w:tcW w:w="582"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w:t>
            </w:r>
          </w:p>
        </w:tc>
        <w:tc>
          <w:tcPr>
            <w:tcW w:w="580"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1125" w:hRule="atLeast"/>
          <w:jc w:val="center"/>
        </w:trPr>
        <w:tc>
          <w:tcPr>
            <w:tcW w:w="349"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3</w:t>
            </w:r>
          </w:p>
        </w:tc>
        <w:tc>
          <w:tcPr>
            <w:tcW w:w="595"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矿区沉淀池</w:t>
            </w:r>
          </w:p>
        </w:tc>
        <w:tc>
          <w:tcPr>
            <w:tcW w:w="718" w:type="pct"/>
            <w:vAlign w:val="center"/>
          </w:tcPr>
          <w:p>
            <w:pPr>
              <w:autoSpaceDE w:val="0"/>
              <w:autoSpaceDN w:val="0"/>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采矿矿井涌水</w:t>
            </w:r>
          </w:p>
        </w:tc>
        <w:tc>
          <w:tcPr>
            <w:tcW w:w="641"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SS</w:t>
            </w:r>
          </w:p>
        </w:tc>
        <w:tc>
          <w:tcPr>
            <w:tcW w:w="934" w:type="pct"/>
            <w:vAlign w:val="center"/>
          </w:tcPr>
          <w:p>
            <w:pPr>
              <w:snapToGrid w:val="0"/>
              <w:spacing w:line="240" w:lineRule="auto"/>
              <w:ind w:firstLine="0" w:firstLineChars="0"/>
              <w:jc w:val="center"/>
              <w:rPr>
                <w:rFonts w:eastAsia="宋体" w:cs="Times New Roman"/>
                <w:kern w:val="0"/>
                <w:sz w:val="21"/>
                <w:szCs w:val="21"/>
              </w:rPr>
            </w:pPr>
            <w:r>
              <w:rPr>
                <w:rFonts w:eastAsia="宋体" w:cs="Times New Roman"/>
                <w:sz w:val="21"/>
                <w:szCs w:val="21"/>
              </w:rPr>
              <w:t>部分用于露天采场降尘，部分用于选矿工艺的补充水</w:t>
            </w:r>
          </w:p>
        </w:tc>
        <w:tc>
          <w:tcPr>
            <w:tcW w:w="600" w:type="pct"/>
            <w:vAlign w:val="center"/>
          </w:tcPr>
          <w:p>
            <w:pPr>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w:t>
            </w:r>
          </w:p>
        </w:tc>
        <w:tc>
          <w:tcPr>
            <w:tcW w:w="582"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w:t>
            </w:r>
          </w:p>
        </w:tc>
        <w:tc>
          <w:tcPr>
            <w:tcW w:w="580"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685" w:hRule="atLeast"/>
          <w:jc w:val="center"/>
        </w:trPr>
        <w:tc>
          <w:tcPr>
            <w:tcW w:w="349"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4</w:t>
            </w:r>
          </w:p>
        </w:tc>
        <w:tc>
          <w:tcPr>
            <w:tcW w:w="595"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尾矿库</w:t>
            </w:r>
          </w:p>
        </w:tc>
        <w:tc>
          <w:tcPr>
            <w:tcW w:w="718" w:type="pct"/>
            <w:vAlign w:val="center"/>
          </w:tcPr>
          <w:p>
            <w:pPr>
              <w:autoSpaceDE w:val="0"/>
              <w:autoSpaceDN w:val="0"/>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选矿废水</w:t>
            </w:r>
          </w:p>
        </w:tc>
        <w:tc>
          <w:tcPr>
            <w:tcW w:w="641" w:type="pct"/>
            <w:vAlign w:val="center"/>
          </w:tcPr>
          <w:p>
            <w:pPr>
              <w:snapToGrid w:val="0"/>
              <w:spacing w:line="240" w:lineRule="auto"/>
              <w:ind w:firstLine="0" w:firstLineChars="0"/>
              <w:jc w:val="center"/>
              <w:rPr>
                <w:rFonts w:eastAsia="宋体" w:cs="Times New Roman"/>
                <w:kern w:val="0"/>
                <w:sz w:val="21"/>
                <w:szCs w:val="21"/>
              </w:rPr>
            </w:pPr>
            <w:r>
              <w:rPr>
                <w:rFonts w:eastAsia="宋体" w:cs="Times New Roman"/>
                <w:sz w:val="21"/>
                <w:szCs w:val="21"/>
              </w:rPr>
              <w:t>SS、Cu、Fe、Pb、Zn、Ni</w:t>
            </w:r>
          </w:p>
        </w:tc>
        <w:tc>
          <w:tcPr>
            <w:tcW w:w="934"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全部返回选矿生产工序循环利用</w:t>
            </w:r>
          </w:p>
        </w:tc>
        <w:tc>
          <w:tcPr>
            <w:tcW w:w="600" w:type="pct"/>
            <w:vAlign w:val="center"/>
          </w:tcPr>
          <w:p>
            <w:pPr>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w:t>
            </w:r>
          </w:p>
        </w:tc>
        <w:tc>
          <w:tcPr>
            <w:tcW w:w="582"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w:t>
            </w:r>
          </w:p>
        </w:tc>
        <w:tc>
          <w:tcPr>
            <w:tcW w:w="580"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685" w:hRule="atLeast"/>
          <w:jc w:val="center"/>
        </w:trPr>
        <w:tc>
          <w:tcPr>
            <w:tcW w:w="349"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5</w:t>
            </w:r>
          </w:p>
        </w:tc>
        <w:tc>
          <w:tcPr>
            <w:tcW w:w="595"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收集池</w:t>
            </w:r>
          </w:p>
        </w:tc>
        <w:tc>
          <w:tcPr>
            <w:tcW w:w="718" w:type="pct"/>
            <w:vAlign w:val="center"/>
          </w:tcPr>
          <w:p>
            <w:pPr>
              <w:autoSpaceDE w:val="0"/>
              <w:autoSpaceDN w:val="0"/>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废石场淋溶水</w:t>
            </w:r>
          </w:p>
        </w:tc>
        <w:tc>
          <w:tcPr>
            <w:tcW w:w="641" w:type="pct"/>
            <w:vAlign w:val="center"/>
          </w:tcPr>
          <w:p>
            <w:pPr>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SS</w:t>
            </w:r>
          </w:p>
        </w:tc>
        <w:tc>
          <w:tcPr>
            <w:tcW w:w="934"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回用于选矿工艺</w:t>
            </w:r>
          </w:p>
        </w:tc>
        <w:tc>
          <w:tcPr>
            <w:tcW w:w="600" w:type="pct"/>
            <w:vAlign w:val="center"/>
          </w:tcPr>
          <w:p>
            <w:pPr>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w:t>
            </w:r>
          </w:p>
        </w:tc>
        <w:tc>
          <w:tcPr>
            <w:tcW w:w="582"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w:t>
            </w:r>
          </w:p>
        </w:tc>
        <w:tc>
          <w:tcPr>
            <w:tcW w:w="580"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w:t>
            </w:r>
          </w:p>
        </w:tc>
      </w:tr>
    </w:tbl>
    <w:p>
      <w:pPr>
        <w:pStyle w:val="4"/>
        <w:rPr>
          <w:rFonts w:cs="Times New Roman"/>
        </w:rPr>
      </w:pPr>
      <w:bookmarkStart w:id="87" w:name="_Toc94185479"/>
      <w:r>
        <w:rPr>
          <w:rFonts w:cs="Times New Roman"/>
        </w:rPr>
        <w:t>5.1.2废气污染防治设施</w:t>
      </w:r>
      <w:bookmarkEnd w:id="86"/>
      <w:bookmarkEnd w:id="87"/>
    </w:p>
    <w:p>
      <w:pPr>
        <w:adjustRightInd w:val="0"/>
        <w:snapToGrid w:val="0"/>
        <w:ind w:firstLine="480"/>
      </w:pPr>
      <w:r>
        <w:t>曙光金铜矿产生的废气主要为</w:t>
      </w:r>
      <w:r>
        <w:rPr>
          <w:rFonts w:hint="eastAsia"/>
        </w:rPr>
        <w:t>破碎、筛分</w:t>
      </w:r>
      <w:r>
        <w:t>、</w:t>
      </w:r>
      <w:r>
        <w:rPr>
          <w:rFonts w:hint="eastAsia"/>
        </w:rPr>
        <w:t>露天采场和废石场</w:t>
      </w:r>
      <w:r>
        <w:t>粉尘和锅炉烟气。</w:t>
      </w:r>
      <w:r>
        <w:rPr>
          <w:rFonts w:hint="eastAsia"/>
        </w:rPr>
        <w:t>粉尘主要污染物为颗粒物，采暖锅炉排放的烟气主要污染物为SO</w:t>
      </w:r>
      <w:r>
        <w:rPr>
          <w:rFonts w:hint="eastAsia"/>
          <w:vertAlign w:val="subscript"/>
        </w:rPr>
        <w:t>2</w:t>
      </w:r>
      <w:r>
        <w:rPr>
          <w:rFonts w:hint="eastAsia"/>
        </w:rPr>
        <w:t>、NO</w:t>
      </w:r>
      <w:r>
        <w:rPr>
          <w:rFonts w:hint="eastAsia"/>
          <w:vertAlign w:val="subscript"/>
        </w:rPr>
        <w:t>X</w:t>
      </w:r>
      <w:r>
        <w:rPr>
          <w:rFonts w:hint="eastAsia"/>
        </w:rPr>
        <w:t>和颗粒物。</w:t>
      </w:r>
    </w:p>
    <w:p>
      <w:pPr>
        <w:adjustRightInd w:val="0"/>
        <w:snapToGrid w:val="0"/>
        <w:ind w:firstLine="480"/>
      </w:pPr>
      <w:r>
        <w:rPr>
          <w:rFonts w:hint="eastAsia"/>
        </w:rPr>
        <w:t>（1）工业粉尘</w:t>
      </w:r>
    </w:p>
    <w:p>
      <w:pPr>
        <w:adjustRightInd w:val="0"/>
        <w:snapToGrid w:val="0"/>
        <w:ind w:firstLine="480"/>
      </w:pPr>
      <w:r>
        <w:rPr>
          <w:rFonts w:hint="eastAsia"/>
        </w:rPr>
        <w:t>①</w:t>
      </w:r>
      <w:r>
        <w:t>在</w:t>
      </w:r>
      <w:r>
        <w:rPr>
          <w:rFonts w:hint="eastAsia"/>
        </w:rPr>
        <w:t>二选厂、三选厂</w:t>
      </w:r>
      <w:r>
        <w:t>粗碎（颚式破碎机）的上部给矿、下部排矿到1#皮带的导料槽处设置密闭抽风罩，采用高效湿式除尘机组除尘。</w:t>
      </w:r>
    </w:p>
    <w:p>
      <w:pPr>
        <w:adjustRightInd w:val="0"/>
        <w:snapToGrid w:val="0"/>
        <w:ind w:firstLine="480"/>
      </w:pPr>
      <w:r>
        <w:rPr>
          <w:rFonts w:hint="eastAsia"/>
        </w:rPr>
        <w:t>②</w:t>
      </w:r>
      <w:r>
        <w:t>在</w:t>
      </w:r>
      <w:r>
        <w:rPr>
          <w:rFonts w:hint="eastAsia"/>
        </w:rPr>
        <w:t>二选厂、三选厂</w:t>
      </w:r>
      <w:r>
        <w:t>中、细碎（圆锥破碎机）的上部给矿、下部排矿到2#皮带的导料槽处设密闭抽风罩，并在缓冲矿仓也设一处密闭抽风罩，采用1台高效湿式除尘机组除尘。</w:t>
      </w:r>
    </w:p>
    <w:p>
      <w:pPr>
        <w:adjustRightInd w:val="0"/>
        <w:snapToGrid w:val="0"/>
        <w:ind w:firstLine="480"/>
      </w:pPr>
      <w:r>
        <w:rPr>
          <w:rFonts w:hint="eastAsia"/>
        </w:rPr>
        <w:t>③二选厂、三选厂</w:t>
      </w:r>
      <w:r>
        <w:t>筛分振动筛的筛面、筛上块料排料到3#皮带的导料槽处及筛下细料排料到4#皮带的导料槽处均采用局部密闭，采用1台高效湿式除尘机组除尘。</w:t>
      </w:r>
    </w:p>
    <w:p>
      <w:pPr>
        <w:adjustRightInd w:val="0"/>
        <w:snapToGrid w:val="0"/>
        <w:ind w:firstLine="480"/>
      </w:pPr>
      <w:r>
        <w:rPr>
          <w:rFonts w:hint="eastAsia" w:ascii="仿宋_GB2312"/>
        </w:rPr>
        <w:t>④</w:t>
      </w:r>
      <w:r>
        <w:rPr>
          <w:rFonts w:hint="eastAsia"/>
        </w:rPr>
        <w:t>一选厂共有三段工序产生粉尘，分别为粗碎工序、中碎细碎工序、筛分工序，每段工序均设置一套粉尘处理装置。但筛分工序产尘量较大，为了提高除尘效率，在该工序安装二合一除尘系统，即一套除尘系统，两台除尘设备。</w:t>
      </w:r>
    </w:p>
    <w:p>
      <w:pPr>
        <w:adjustRightInd w:val="0"/>
        <w:snapToGrid w:val="0"/>
        <w:ind w:firstLine="480"/>
      </w:pPr>
      <w:r>
        <w:t>选厂粉尘经高效湿式除尘机组处理后，</w:t>
      </w:r>
      <w:r>
        <w:rPr>
          <w:rFonts w:hint="eastAsia"/>
        </w:rPr>
        <w:t>各自</w:t>
      </w:r>
      <w:r>
        <w:t>经15m高排气筒高空排放。</w:t>
      </w:r>
    </w:p>
    <w:p>
      <w:pPr>
        <w:adjustRightInd w:val="0"/>
        <w:snapToGrid w:val="0"/>
        <w:ind w:firstLine="480"/>
      </w:pPr>
      <w:r>
        <w:rPr>
          <w:rFonts w:hint="eastAsia"/>
        </w:rPr>
        <w:t>（2）锅炉烟气</w:t>
      </w:r>
    </w:p>
    <w:p>
      <w:pPr>
        <w:adjustRightInd w:val="0"/>
        <w:snapToGrid w:val="0"/>
        <w:ind w:firstLine="480"/>
        <w:rPr>
          <w:highlight w:val="yellow"/>
        </w:rPr>
      </w:pPr>
      <w:r>
        <w:rPr>
          <w:rFonts w:hint="eastAsia"/>
        </w:rPr>
        <w:t>锅炉房内已安装高效脉冲布袋除尘器，烟气经过除尘器处理后，经现有高45m、内径1.2m烟囱高空排放。2</w:t>
      </w:r>
      <w:r>
        <w:t>018</w:t>
      </w:r>
      <w:r>
        <w:rPr>
          <w:rFonts w:hint="eastAsia"/>
        </w:rPr>
        <w:t>年，曙光金铜矿对矿区采暖锅炉除尘器进行了升级改造，增设了碱法脱硫装置，确保锅炉大气污染物进一步达标排放，经监测，脱硫效率可达90%。</w:t>
      </w:r>
    </w:p>
    <w:p>
      <w:pPr>
        <w:autoSpaceDE w:val="0"/>
        <w:autoSpaceDN w:val="0"/>
        <w:adjustRightInd w:val="0"/>
        <w:snapToGrid w:val="0"/>
        <w:ind w:firstLine="480"/>
        <w:rPr>
          <w:rFonts w:cs="Times New Roman"/>
          <w:kern w:val="0"/>
          <w:szCs w:val="24"/>
        </w:rPr>
      </w:pPr>
      <w:r>
        <w:rPr>
          <w:rFonts w:hint="eastAsia" w:cs="Times New Roman"/>
          <w:kern w:val="0"/>
          <w:szCs w:val="24"/>
        </w:rPr>
        <w:t>曙光金铜矿废气污染防治措施及排放口统计见</w:t>
      </w:r>
      <w:r>
        <w:rPr>
          <w:rFonts w:cs="Times New Roman"/>
          <w:kern w:val="0"/>
          <w:szCs w:val="24"/>
        </w:rPr>
        <w:t>见表5.1-2。</w:t>
      </w:r>
    </w:p>
    <w:p>
      <w:pPr>
        <w:ind w:firstLine="0" w:firstLineChars="0"/>
        <w:jc w:val="center"/>
        <w:rPr>
          <w:rFonts w:eastAsia="黑体" w:cs="Times New Roman"/>
        </w:rPr>
      </w:pPr>
      <w:r>
        <w:rPr>
          <w:rFonts w:eastAsia="黑体" w:cs="Times New Roman"/>
        </w:rPr>
        <w:t xml:space="preserve">表5.1-2 </w:t>
      </w:r>
      <w:r>
        <w:rPr>
          <w:rFonts w:hint="eastAsia" w:eastAsia="黑体" w:cs="Times New Roman"/>
        </w:rPr>
        <w:t xml:space="preserve"> </w:t>
      </w:r>
      <w:r>
        <w:rPr>
          <w:rFonts w:eastAsia="黑体" w:cs="Times New Roman"/>
        </w:rPr>
        <w:t>废气污染防治设施信息表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45"/>
        <w:gridCol w:w="1578"/>
        <w:gridCol w:w="1288"/>
        <w:gridCol w:w="1145"/>
        <w:gridCol w:w="714"/>
        <w:gridCol w:w="857"/>
        <w:gridCol w:w="1314"/>
        <w:gridCol w:w="10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643" w:hRule="atLeast"/>
          <w:jc w:val="center"/>
        </w:trPr>
        <w:tc>
          <w:tcPr>
            <w:tcW w:w="264"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序</w:t>
            </w:r>
          </w:p>
          <w:p>
            <w:pPr>
              <w:snapToGrid w:val="0"/>
              <w:spacing w:line="240" w:lineRule="auto"/>
              <w:ind w:firstLine="0" w:firstLineChars="0"/>
              <w:jc w:val="center"/>
              <w:rPr>
                <w:rFonts w:eastAsia="宋体" w:cs="Times New Roman"/>
                <w:sz w:val="21"/>
                <w:szCs w:val="21"/>
              </w:rPr>
            </w:pPr>
            <w:r>
              <w:rPr>
                <w:rFonts w:eastAsia="宋体" w:cs="Times New Roman"/>
                <w:sz w:val="21"/>
                <w:szCs w:val="21"/>
              </w:rPr>
              <w:t>号</w:t>
            </w:r>
          </w:p>
        </w:tc>
        <w:tc>
          <w:tcPr>
            <w:tcW w:w="937"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治理设施名称</w:t>
            </w:r>
          </w:p>
        </w:tc>
        <w:tc>
          <w:tcPr>
            <w:tcW w:w="765"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产污</w:t>
            </w:r>
          </w:p>
          <w:p>
            <w:pPr>
              <w:snapToGrid w:val="0"/>
              <w:spacing w:line="240" w:lineRule="auto"/>
              <w:ind w:firstLine="0" w:firstLineChars="0"/>
              <w:jc w:val="center"/>
              <w:rPr>
                <w:rFonts w:eastAsia="宋体" w:cs="Times New Roman"/>
                <w:sz w:val="21"/>
                <w:szCs w:val="21"/>
              </w:rPr>
            </w:pPr>
            <w:r>
              <w:rPr>
                <w:rFonts w:eastAsia="宋体" w:cs="Times New Roman"/>
                <w:sz w:val="21"/>
                <w:szCs w:val="21"/>
              </w:rPr>
              <w:t>工序</w:t>
            </w:r>
          </w:p>
        </w:tc>
        <w:tc>
          <w:tcPr>
            <w:tcW w:w="680"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处理的污染物</w:t>
            </w:r>
          </w:p>
        </w:tc>
        <w:tc>
          <w:tcPr>
            <w:tcW w:w="424"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排放形式</w:t>
            </w:r>
          </w:p>
        </w:tc>
        <w:tc>
          <w:tcPr>
            <w:tcW w:w="509"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排放口编号</w:t>
            </w:r>
          </w:p>
        </w:tc>
        <w:tc>
          <w:tcPr>
            <w:tcW w:w="780"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排放口名称</w:t>
            </w:r>
          </w:p>
        </w:tc>
        <w:tc>
          <w:tcPr>
            <w:tcW w:w="641"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排放口类型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4"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1</w:t>
            </w:r>
          </w:p>
        </w:tc>
        <w:tc>
          <w:tcPr>
            <w:tcW w:w="937"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高效湿式除尘机组</w:t>
            </w:r>
          </w:p>
        </w:tc>
        <w:tc>
          <w:tcPr>
            <w:tcW w:w="765" w:type="pct"/>
            <w:vAlign w:val="center"/>
          </w:tcPr>
          <w:p>
            <w:pPr>
              <w:snapToGrid w:val="0"/>
              <w:spacing w:line="240" w:lineRule="auto"/>
              <w:ind w:firstLine="0" w:firstLineChars="0"/>
              <w:jc w:val="center"/>
              <w:rPr>
                <w:rFonts w:eastAsia="宋体" w:cs="Times New Roman"/>
                <w:bCs/>
                <w:sz w:val="21"/>
                <w:szCs w:val="21"/>
              </w:rPr>
            </w:pPr>
            <w:r>
              <w:rPr>
                <w:rFonts w:eastAsia="宋体" w:cs="Times New Roman"/>
                <w:bCs/>
                <w:sz w:val="21"/>
                <w:szCs w:val="21"/>
              </w:rPr>
              <w:t>二选厂破碎（粗碎）</w:t>
            </w:r>
          </w:p>
        </w:tc>
        <w:tc>
          <w:tcPr>
            <w:tcW w:w="680"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颗粒物</w:t>
            </w:r>
          </w:p>
        </w:tc>
        <w:tc>
          <w:tcPr>
            <w:tcW w:w="424"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有组织</w:t>
            </w:r>
          </w:p>
        </w:tc>
        <w:tc>
          <w:tcPr>
            <w:tcW w:w="509" w:type="pct"/>
            <w:vAlign w:val="center"/>
          </w:tcPr>
          <w:p>
            <w:pPr>
              <w:pStyle w:val="206"/>
              <w:snapToGrid w:val="0"/>
              <w:jc w:val="center"/>
              <w:rPr>
                <w:rFonts w:ascii="Times New Roman" w:hAnsi="Times New Roman"/>
                <w:szCs w:val="21"/>
              </w:rPr>
            </w:pPr>
            <w:r>
              <w:rPr>
                <w:rFonts w:ascii="Times New Roman" w:hAnsi="Times New Roman"/>
                <w:szCs w:val="21"/>
              </w:rPr>
              <w:t>DA009</w:t>
            </w:r>
          </w:p>
        </w:tc>
        <w:tc>
          <w:tcPr>
            <w:tcW w:w="780" w:type="pct"/>
            <w:vAlign w:val="center"/>
          </w:tcPr>
          <w:p>
            <w:pPr>
              <w:pStyle w:val="206"/>
              <w:snapToGrid w:val="0"/>
              <w:jc w:val="center"/>
              <w:rPr>
                <w:rFonts w:ascii="Times New Roman" w:hAnsi="Times New Roman"/>
                <w:szCs w:val="21"/>
              </w:rPr>
            </w:pPr>
            <w:r>
              <w:rPr>
                <w:rFonts w:ascii="Times New Roman" w:hAnsi="Times New Roman"/>
                <w:szCs w:val="21"/>
              </w:rPr>
              <w:t>4000吨老虎口排气筒</w:t>
            </w:r>
          </w:p>
        </w:tc>
        <w:tc>
          <w:tcPr>
            <w:tcW w:w="641"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一般排放口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4"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2</w:t>
            </w:r>
          </w:p>
        </w:tc>
        <w:tc>
          <w:tcPr>
            <w:tcW w:w="937"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高效湿式除尘机组</w:t>
            </w:r>
          </w:p>
        </w:tc>
        <w:tc>
          <w:tcPr>
            <w:tcW w:w="765" w:type="pct"/>
            <w:vAlign w:val="center"/>
          </w:tcPr>
          <w:p>
            <w:pPr>
              <w:snapToGrid w:val="0"/>
              <w:spacing w:line="240" w:lineRule="auto"/>
              <w:ind w:firstLine="0" w:firstLineChars="0"/>
              <w:jc w:val="center"/>
              <w:rPr>
                <w:rFonts w:eastAsia="宋体" w:cs="Times New Roman"/>
                <w:sz w:val="21"/>
                <w:szCs w:val="21"/>
              </w:rPr>
            </w:pPr>
            <w:r>
              <w:rPr>
                <w:rFonts w:eastAsia="宋体" w:cs="Times New Roman"/>
                <w:bCs/>
                <w:sz w:val="21"/>
                <w:szCs w:val="21"/>
              </w:rPr>
              <w:t>二选厂破碎（中细碎）</w:t>
            </w:r>
          </w:p>
        </w:tc>
        <w:tc>
          <w:tcPr>
            <w:tcW w:w="680"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颗粒物</w:t>
            </w:r>
          </w:p>
        </w:tc>
        <w:tc>
          <w:tcPr>
            <w:tcW w:w="424"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有组织</w:t>
            </w:r>
          </w:p>
        </w:tc>
        <w:tc>
          <w:tcPr>
            <w:tcW w:w="509" w:type="pct"/>
            <w:vAlign w:val="center"/>
          </w:tcPr>
          <w:p>
            <w:pPr>
              <w:pStyle w:val="206"/>
              <w:snapToGrid w:val="0"/>
              <w:jc w:val="center"/>
              <w:rPr>
                <w:rFonts w:ascii="Times New Roman" w:hAnsi="Times New Roman"/>
                <w:szCs w:val="21"/>
              </w:rPr>
            </w:pPr>
            <w:r>
              <w:rPr>
                <w:rFonts w:ascii="Times New Roman" w:hAnsi="Times New Roman"/>
                <w:szCs w:val="21"/>
              </w:rPr>
              <w:t>DA004</w:t>
            </w:r>
          </w:p>
        </w:tc>
        <w:tc>
          <w:tcPr>
            <w:tcW w:w="780" w:type="pct"/>
            <w:vAlign w:val="center"/>
          </w:tcPr>
          <w:p>
            <w:pPr>
              <w:pStyle w:val="206"/>
              <w:snapToGrid w:val="0"/>
              <w:jc w:val="center"/>
              <w:rPr>
                <w:rFonts w:ascii="Times New Roman" w:hAnsi="Times New Roman"/>
                <w:szCs w:val="21"/>
              </w:rPr>
            </w:pPr>
            <w:r>
              <w:rPr>
                <w:rFonts w:ascii="Times New Roman" w:hAnsi="Times New Roman"/>
                <w:szCs w:val="21"/>
              </w:rPr>
              <w:t>4000吨中细碎排气筒</w:t>
            </w:r>
          </w:p>
        </w:tc>
        <w:tc>
          <w:tcPr>
            <w:tcW w:w="641"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一般排放口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4"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3</w:t>
            </w:r>
          </w:p>
        </w:tc>
        <w:tc>
          <w:tcPr>
            <w:tcW w:w="937"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高效湿式除尘机组</w:t>
            </w:r>
          </w:p>
        </w:tc>
        <w:tc>
          <w:tcPr>
            <w:tcW w:w="765" w:type="pct"/>
            <w:vAlign w:val="center"/>
          </w:tcPr>
          <w:p>
            <w:pPr>
              <w:snapToGrid w:val="0"/>
              <w:spacing w:line="240" w:lineRule="auto"/>
              <w:ind w:firstLine="0" w:firstLineChars="0"/>
              <w:jc w:val="center"/>
              <w:rPr>
                <w:rFonts w:eastAsia="宋体" w:cs="Times New Roman"/>
                <w:sz w:val="21"/>
                <w:szCs w:val="21"/>
              </w:rPr>
            </w:pPr>
            <w:r>
              <w:rPr>
                <w:rFonts w:eastAsia="宋体" w:cs="Times New Roman"/>
                <w:bCs/>
                <w:sz w:val="21"/>
                <w:szCs w:val="21"/>
              </w:rPr>
              <w:t>二选厂筛分</w:t>
            </w:r>
          </w:p>
        </w:tc>
        <w:tc>
          <w:tcPr>
            <w:tcW w:w="680"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颗粒物</w:t>
            </w:r>
          </w:p>
        </w:tc>
        <w:tc>
          <w:tcPr>
            <w:tcW w:w="424"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有组织</w:t>
            </w:r>
          </w:p>
        </w:tc>
        <w:tc>
          <w:tcPr>
            <w:tcW w:w="509" w:type="pct"/>
            <w:vAlign w:val="center"/>
          </w:tcPr>
          <w:p>
            <w:pPr>
              <w:pStyle w:val="206"/>
              <w:snapToGrid w:val="0"/>
              <w:jc w:val="center"/>
              <w:rPr>
                <w:rFonts w:ascii="Times New Roman" w:hAnsi="Times New Roman"/>
                <w:szCs w:val="21"/>
              </w:rPr>
            </w:pPr>
            <w:r>
              <w:rPr>
                <w:rFonts w:ascii="Times New Roman" w:hAnsi="Times New Roman"/>
                <w:szCs w:val="21"/>
              </w:rPr>
              <w:t>DA001</w:t>
            </w:r>
          </w:p>
        </w:tc>
        <w:tc>
          <w:tcPr>
            <w:tcW w:w="780" w:type="pct"/>
            <w:vAlign w:val="center"/>
          </w:tcPr>
          <w:p>
            <w:pPr>
              <w:pStyle w:val="206"/>
              <w:snapToGrid w:val="0"/>
              <w:jc w:val="center"/>
              <w:rPr>
                <w:rFonts w:ascii="Times New Roman" w:hAnsi="Times New Roman"/>
                <w:szCs w:val="21"/>
              </w:rPr>
            </w:pPr>
            <w:r>
              <w:rPr>
                <w:rFonts w:ascii="Times New Roman" w:hAnsi="Times New Roman"/>
                <w:szCs w:val="21"/>
              </w:rPr>
              <w:t>4000振动筛排气筒</w:t>
            </w:r>
          </w:p>
        </w:tc>
        <w:tc>
          <w:tcPr>
            <w:tcW w:w="641"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一般排放口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4"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4</w:t>
            </w:r>
          </w:p>
        </w:tc>
        <w:tc>
          <w:tcPr>
            <w:tcW w:w="937"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高效湿式除尘机组</w:t>
            </w:r>
          </w:p>
        </w:tc>
        <w:tc>
          <w:tcPr>
            <w:tcW w:w="765" w:type="pct"/>
            <w:vAlign w:val="center"/>
          </w:tcPr>
          <w:p>
            <w:pPr>
              <w:snapToGrid w:val="0"/>
              <w:spacing w:line="240" w:lineRule="auto"/>
              <w:ind w:firstLine="0" w:firstLineChars="0"/>
              <w:jc w:val="center"/>
              <w:rPr>
                <w:rFonts w:eastAsia="宋体" w:cs="Times New Roman"/>
                <w:bCs/>
                <w:sz w:val="21"/>
                <w:szCs w:val="21"/>
              </w:rPr>
            </w:pPr>
            <w:r>
              <w:rPr>
                <w:rFonts w:eastAsia="宋体" w:cs="Times New Roman"/>
                <w:bCs/>
                <w:sz w:val="21"/>
                <w:szCs w:val="21"/>
              </w:rPr>
              <w:t>三选厂破碎（粗碎）</w:t>
            </w:r>
          </w:p>
        </w:tc>
        <w:tc>
          <w:tcPr>
            <w:tcW w:w="680"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颗粒物</w:t>
            </w:r>
          </w:p>
        </w:tc>
        <w:tc>
          <w:tcPr>
            <w:tcW w:w="424"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有组织</w:t>
            </w:r>
          </w:p>
        </w:tc>
        <w:tc>
          <w:tcPr>
            <w:tcW w:w="509" w:type="pct"/>
            <w:vAlign w:val="center"/>
          </w:tcPr>
          <w:p>
            <w:pPr>
              <w:pStyle w:val="206"/>
              <w:snapToGrid w:val="0"/>
              <w:jc w:val="center"/>
              <w:rPr>
                <w:rFonts w:ascii="Times New Roman" w:hAnsi="Times New Roman"/>
                <w:szCs w:val="21"/>
              </w:rPr>
            </w:pPr>
            <w:r>
              <w:rPr>
                <w:rFonts w:ascii="Times New Roman" w:hAnsi="Times New Roman"/>
                <w:szCs w:val="21"/>
              </w:rPr>
              <w:t>DA008</w:t>
            </w:r>
          </w:p>
        </w:tc>
        <w:tc>
          <w:tcPr>
            <w:tcW w:w="780" w:type="pct"/>
            <w:vAlign w:val="center"/>
          </w:tcPr>
          <w:p>
            <w:pPr>
              <w:pStyle w:val="206"/>
              <w:snapToGrid w:val="0"/>
              <w:jc w:val="center"/>
              <w:rPr>
                <w:rFonts w:ascii="Times New Roman" w:hAnsi="Times New Roman"/>
                <w:szCs w:val="21"/>
              </w:rPr>
            </w:pPr>
            <w:r>
              <w:rPr>
                <w:rFonts w:ascii="Times New Roman" w:hAnsi="Times New Roman"/>
                <w:szCs w:val="21"/>
              </w:rPr>
              <w:t>9500吨老虎口排气筒</w:t>
            </w:r>
          </w:p>
        </w:tc>
        <w:tc>
          <w:tcPr>
            <w:tcW w:w="641"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一般排放口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4"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5</w:t>
            </w:r>
          </w:p>
        </w:tc>
        <w:tc>
          <w:tcPr>
            <w:tcW w:w="937"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高效湿式除尘机组</w:t>
            </w:r>
          </w:p>
        </w:tc>
        <w:tc>
          <w:tcPr>
            <w:tcW w:w="765"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三选厂破碎</w:t>
            </w:r>
            <w:r>
              <w:rPr>
                <w:rFonts w:eastAsia="宋体" w:cs="Times New Roman"/>
                <w:bCs/>
                <w:sz w:val="21"/>
                <w:szCs w:val="21"/>
              </w:rPr>
              <w:t>（中细碎）</w:t>
            </w:r>
          </w:p>
        </w:tc>
        <w:tc>
          <w:tcPr>
            <w:tcW w:w="680"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颗粒物</w:t>
            </w:r>
          </w:p>
        </w:tc>
        <w:tc>
          <w:tcPr>
            <w:tcW w:w="424"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有组织</w:t>
            </w:r>
          </w:p>
        </w:tc>
        <w:tc>
          <w:tcPr>
            <w:tcW w:w="509" w:type="pct"/>
            <w:vAlign w:val="center"/>
          </w:tcPr>
          <w:p>
            <w:pPr>
              <w:pStyle w:val="206"/>
              <w:snapToGrid w:val="0"/>
              <w:jc w:val="center"/>
              <w:rPr>
                <w:rFonts w:ascii="Times New Roman" w:hAnsi="Times New Roman"/>
                <w:szCs w:val="21"/>
              </w:rPr>
            </w:pPr>
            <w:r>
              <w:rPr>
                <w:rFonts w:ascii="Times New Roman" w:hAnsi="Times New Roman"/>
                <w:szCs w:val="21"/>
              </w:rPr>
              <w:t>DA003</w:t>
            </w:r>
          </w:p>
        </w:tc>
        <w:tc>
          <w:tcPr>
            <w:tcW w:w="780" w:type="pct"/>
            <w:vAlign w:val="center"/>
          </w:tcPr>
          <w:p>
            <w:pPr>
              <w:pStyle w:val="206"/>
              <w:snapToGrid w:val="0"/>
              <w:jc w:val="center"/>
              <w:rPr>
                <w:rFonts w:ascii="Times New Roman" w:hAnsi="Times New Roman"/>
                <w:szCs w:val="21"/>
              </w:rPr>
            </w:pPr>
            <w:r>
              <w:rPr>
                <w:rFonts w:ascii="Times New Roman" w:hAnsi="Times New Roman"/>
                <w:szCs w:val="21"/>
              </w:rPr>
              <w:t>9500中细碎排气筒</w:t>
            </w:r>
          </w:p>
        </w:tc>
        <w:tc>
          <w:tcPr>
            <w:tcW w:w="641"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一般排放口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4"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6</w:t>
            </w:r>
          </w:p>
        </w:tc>
        <w:tc>
          <w:tcPr>
            <w:tcW w:w="937"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高效湿式除尘机组</w:t>
            </w:r>
          </w:p>
        </w:tc>
        <w:tc>
          <w:tcPr>
            <w:tcW w:w="765" w:type="pct"/>
            <w:vAlign w:val="center"/>
          </w:tcPr>
          <w:p>
            <w:pPr>
              <w:snapToGrid w:val="0"/>
              <w:spacing w:line="240" w:lineRule="auto"/>
              <w:ind w:firstLine="0" w:firstLineChars="0"/>
              <w:jc w:val="center"/>
              <w:rPr>
                <w:rFonts w:eastAsia="宋体" w:cs="Times New Roman"/>
                <w:sz w:val="21"/>
                <w:szCs w:val="21"/>
              </w:rPr>
            </w:pPr>
            <w:r>
              <w:rPr>
                <w:rFonts w:eastAsia="宋体" w:cs="Times New Roman"/>
                <w:bCs/>
                <w:sz w:val="21"/>
                <w:szCs w:val="21"/>
              </w:rPr>
              <w:t>三选厂筛分</w:t>
            </w:r>
          </w:p>
        </w:tc>
        <w:tc>
          <w:tcPr>
            <w:tcW w:w="680"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颗粒物</w:t>
            </w:r>
          </w:p>
        </w:tc>
        <w:tc>
          <w:tcPr>
            <w:tcW w:w="424"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有组织</w:t>
            </w:r>
          </w:p>
        </w:tc>
        <w:tc>
          <w:tcPr>
            <w:tcW w:w="509" w:type="pct"/>
            <w:vAlign w:val="center"/>
          </w:tcPr>
          <w:p>
            <w:pPr>
              <w:pStyle w:val="206"/>
              <w:snapToGrid w:val="0"/>
              <w:jc w:val="center"/>
              <w:rPr>
                <w:rFonts w:ascii="Times New Roman" w:hAnsi="Times New Roman"/>
                <w:szCs w:val="21"/>
              </w:rPr>
            </w:pPr>
            <w:r>
              <w:rPr>
                <w:rFonts w:ascii="Times New Roman" w:hAnsi="Times New Roman"/>
                <w:szCs w:val="21"/>
              </w:rPr>
              <w:t>DA002</w:t>
            </w:r>
          </w:p>
        </w:tc>
        <w:tc>
          <w:tcPr>
            <w:tcW w:w="780" w:type="pct"/>
            <w:vAlign w:val="center"/>
          </w:tcPr>
          <w:p>
            <w:pPr>
              <w:pStyle w:val="206"/>
              <w:snapToGrid w:val="0"/>
              <w:jc w:val="center"/>
              <w:rPr>
                <w:rFonts w:ascii="Times New Roman" w:hAnsi="Times New Roman"/>
                <w:szCs w:val="21"/>
              </w:rPr>
            </w:pPr>
            <w:r>
              <w:rPr>
                <w:rFonts w:ascii="Times New Roman" w:hAnsi="Times New Roman"/>
                <w:szCs w:val="21"/>
              </w:rPr>
              <w:t>9500吨振动筛排气筒</w:t>
            </w:r>
          </w:p>
        </w:tc>
        <w:tc>
          <w:tcPr>
            <w:tcW w:w="641"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一般排放口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4"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7</w:t>
            </w:r>
          </w:p>
        </w:tc>
        <w:tc>
          <w:tcPr>
            <w:tcW w:w="937"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高效湿式除尘机组</w:t>
            </w:r>
          </w:p>
        </w:tc>
        <w:tc>
          <w:tcPr>
            <w:tcW w:w="765" w:type="pct"/>
            <w:vAlign w:val="center"/>
          </w:tcPr>
          <w:p>
            <w:pPr>
              <w:snapToGrid w:val="0"/>
              <w:spacing w:line="240" w:lineRule="auto"/>
              <w:ind w:firstLine="0" w:firstLineChars="0"/>
              <w:jc w:val="center"/>
              <w:rPr>
                <w:rFonts w:eastAsia="宋体" w:cs="Times New Roman"/>
                <w:bCs/>
                <w:sz w:val="21"/>
                <w:szCs w:val="21"/>
              </w:rPr>
            </w:pPr>
            <w:r>
              <w:rPr>
                <w:rFonts w:eastAsia="宋体" w:cs="Times New Roman"/>
                <w:bCs/>
                <w:sz w:val="21"/>
                <w:szCs w:val="21"/>
              </w:rPr>
              <w:t>一选厂破碎（粗碎）</w:t>
            </w:r>
          </w:p>
        </w:tc>
        <w:tc>
          <w:tcPr>
            <w:tcW w:w="680"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颗粒物</w:t>
            </w:r>
          </w:p>
        </w:tc>
        <w:tc>
          <w:tcPr>
            <w:tcW w:w="424"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有组织</w:t>
            </w:r>
          </w:p>
        </w:tc>
        <w:tc>
          <w:tcPr>
            <w:tcW w:w="509" w:type="pct"/>
            <w:vAlign w:val="center"/>
          </w:tcPr>
          <w:p>
            <w:pPr>
              <w:pStyle w:val="206"/>
              <w:snapToGrid w:val="0"/>
              <w:jc w:val="center"/>
              <w:rPr>
                <w:rFonts w:ascii="Times New Roman" w:hAnsi="Times New Roman"/>
                <w:szCs w:val="21"/>
              </w:rPr>
            </w:pPr>
            <w:r>
              <w:rPr>
                <w:rFonts w:ascii="Times New Roman" w:hAnsi="Times New Roman"/>
                <w:szCs w:val="21"/>
              </w:rPr>
              <w:t>DA010</w:t>
            </w:r>
          </w:p>
        </w:tc>
        <w:tc>
          <w:tcPr>
            <w:tcW w:w="780" w:type="pct"/>
            <w:vAlign w:val="center"/>
          </w:tcPr>
          <w:p>
            <w:pPr>
              <w:pStyle w:val="206"/>
              <w:snapToGrid w:val="0"/>
              <w:jc w:val="center"/>
              <w:rPr>
                <w:rFonts w:ascii="Times New Roman" w:hAnsi="Times New Roman"/>
                <w:szCs w:val="21"/>
              </w:rPr>
            </w:pPr>
            <w:r>
              <w:rPr>
                <w:rFonts w:ascii="Times New Roman" w:hAnsi="Times New Roman"/>
                <w:szCs w:val="21"/>
              </w:rPr>
              <w:t>10000吨老虎口排气筒</w:t>
            </w:r>
          </w:p>
        </w:tc>
        <w:tc>
          <w:tcPr>
            <w:tcW w:w="641"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一般排放口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4"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8</w:t>
            </w:r>
          </w:p>
        </w:tc>
        <w:tc>
          <w:tcPr>
            <w:tcW w:w="937"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高效湿式除尘机组</w:t>
            </w:r>
          </w:p>
        </w:tc>
        <w:tc>
          <w:tcPr>
            <w:tcW w:w="765" w:type="pct"/>
            <w:vAlign w:val="center"/>
          </w:tcPr>
          <w:p>
            <w:pPr>
              <w:snapToGrid w:val="0"/>
              <w:spacing w:line="240" w:lineRule="auto"/>
              <w:ind w:firstLine="0" w:firstLineChars="0"/>
              <w:jc w:val="center"/>
              <w:rPr>
                <w:rFonts w:eastAsia="宋体" w:cs="Times New Roman"/>
                <w:bCs/>
                <w:sz w:val="21"/>
                <w:szCs w:val="21"/>
              </w:rPr>
            </w:pPr>
            <w:r>
              <w:rPr>
                <w:rFonts w:eastAsia="宋体" w:cs="Times New Roman"/>
                <w:bCs/>
                <w:sz w:val="21"/>
                <w:szCs w:val="21"/>
              </w:rPr>
              <w:t>一选厂破碎（中细碎）</w:t>
            </w:r>
          </w:p>
        </w:tc>
        <w:tc>
          <w:tcPr>
            <w:tcW w:w="680"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颗粒物</w:t>
            </w:r>
          </w:p>
        </w:tc>
        <w:tc>
          <w:tcPr>
            <w:tcW w:w="424"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有组织</w:t>
            </w:r>
          </w:p>
        </w:tc>
        <w:tc>
          <w:tcPr>
            <w:tcW w:w="509" w:type="pct"/>
            <w:vAlign w:val="center"/>
          </w:tcPr>
          <w:p>
            <w:pPr>
              <w:pStyle w:val="206"/>
              <w:snapToGrid w:val="0"/>
              <w:jc w:val="center"/>
              <w:rPr>
                <w:rFonts w:ascii="Times New Roman" w:hAnsi="Times New Roman"/>
                <w:szCs w:val="21"/>
              </w:rPr>
            </w:pPr>
            <w:r>
              <w:rPr>
                <w:rFonts w:ascii="Times New Roman" w:hAnsi="Times New Roman"/>
                <w:szCs w:val="21"/>
              </w:rPr>
              <w:t>DA007</w:t>
            </w:r>
          </w:p>
        </w:tc>
        <w:tc>
          <w:tcPr>
            <w:tcW w:w="780" w:type="pct"/>
            <w:vAlign w:val="center"/>
          </w:tcPr>
          <w:p>
            <w:pPr>
              <w:pStyle w:val="206"/>
              <w:snapToGrid w:val="0"/>
              <w:jc w:val="center"/>
              <w:rPr>
                <w:rFonts w:ascii="Times New Roman" w:hAnsi="Times New Roman"/>
                <w:szCs w:val="21"/>
              </w:rPr>
            </w:pPr>
            <w:r>
              <w:rPr>
                <w:rFonts w:ascii="Times New Roman" w:hAnsi="Times New Roman"/>
                <w:szCs w:val="21"/>
              </w:rPr>
              <w:t>10000吨中细碎排放筒</w:t>
            </w:r>
          </w:p>
        </w:tc>
        <w:tc>
          <w:tcPr>
            <w:tcW w:w="641"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一般排放口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4"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9</w:t>
            </w:r>
          </w:p>
        </w:tc>
        <w:tc>
          <w:tcPr>
            <w:tcW w:w="937" w:type="pct"/>
            <w:vMerge w:val="restar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二合一除尘系统（2台湿式除尘机）</w:t>
            </w:r>
          </w:p>
        </w:tc>
        <w:tc>
          <w:tcPr>
            <w:tcW w:w="765" w:type="pct"/>
            <w:vAlign w:val="center"/>
          </w:tcPr>
          <w:p>
            <w:pPr>
              <w:snapToGrid w:val="0"/>
              <w:spacing w:line="240" w:lineRule="auto"/>
              <w:ind w:firstLine="0" w:firstLineChars="0"/>
              <w:jc w:val="center"/>
              <w:rPr>
                <w:rFonts w:eastAsia="宋体" w:cs="Times New Roman"/>
                <w:sz w:val="21"/>
                <w:szCs w:val="21"/>
              </w:rPr>
            </w:pPr>
            <w:r>
              <w:rPr>
                <w:rFonts w:eastAsia="宋体" w:cs="Times New Roman"/>
                <w:bCs/>
                <w:sz w:val="21"/>
                <w:szCs w:val="21"/>
              </w:rPr>
              <w:t>一选厂筛分</w:t>
            </w:r>
          </w:p>
        </w:tc>
        <w:tc>
          <w:tcPr>
            <w:tcW w:w="680"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颗粒物</w:t>
            </w:r>
          </w:p>
        </w:tc>
        <w:tc>
          <w:tcPr>
            <w:tcW w:w="424"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有组织</w:t>
            </w:r>
          </w:p>
        </w:tc>
        <w:tc>
          <w:tcPr>
            <w:tcW w:w="509" w:type="pct"/>
            <w:vAlign w:val="center"/>
          </w:tcPr>
          <w:p>
            <w:pPr>
              <w:pStyle w:val="206"/>
              <w:snapToGrid w:val="0"/>
              <w:jc w:val="center"/>
              <w:rPr>
                <w:rFonts w:ascii="Times New Roman" w:hAnsi="Times New Roman"/>
                <w:szCs w:val="21"/>
              </w:rPr>
            </w:pPr>
            <w:r>
              <w:rPr>
                <w:rFonts w:ascii="Times New Roman" w:hAnsi="Times New Roman"/>
                <w:szCs w:val="21"/>
              </w:rPr>
              <w:t>DA005</w:t>
            </w:r>
          </w:p>
        </w:tc>
        <w:tc>
          <w:tcPr>
            <w:tcW w:w="780" w:type="pct"/>
            <w:vAlign w:val="center"/>
          </w:tcPr>
          <w:p>
            <w:pPr>
              <w:pStyle w:val="206"/>
              <w:snapToGrid w:val="0"/>
              <w:jc w:val="center"/>
              <w:rPr>
                <w:rFonts w:ascii="Times New Roman" w:hAnsi="Times New Roman"/>
                <w:szCs w:val="21"/>
              </w:rPr>
            </w:pPr>
            <w:r>
              <w:rPr>
                <w:rFonts w:ascii="Times New Roman" w:hAnsi="Times New Roman"/>
                <w:szCs w:val="21"/>
              </w:rPr>
              <w:t>10000吨筛分排放口1</w:t>
            </w:r>
          </w:p>
        </w:tc>
        <w:tc>
          <w:tcPr>
            <w:tcW w:w="641"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一般排放口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4"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10</w:t>
            </w:r>
          </w:p>
        </w:tc>
        <w:tc>
          <w:tcPr>
            <w:tcW w:w="937" w:type="pct"/>
            <w:vMerge w:val="continue"/>
            <w:vAlign w:val="center"/>
          </w:tcPr>
          <w:p>
            <w:pPr>
              <w:snapToGrid w:val="0"/>
              <w:spacing w:line="240" w:lineRule="auto"/>
              <w:ind w:firstLine="0" w:firstLineChars="0"/>
              <w:jc w:val="center"/>
              <w:rPr>
                <w:rFonts w:eastAsia="宋体" w:cs="Times New Roman"/>
                <w:sz w:val="21"/>
                <w:szCs w:val="21"/>
              </w:rPr>
            </w:pPr>
          </w:p>
        </w:tc>
        <w:tc>
          <w:tcPr>
            <w:tcW w:w="765" w:type="pct"/>
            <w:vAlign w:val="center"/>
          </w:tcPr>
          <w:p>
            <w:pPr>
              <w:snapToGrid w:val="0"/>
              <w:spacing w:line="240" w:lineRule="auto"/>
              <w:ind w:firstLine="0" w:firstLineChars="0"/>
              <w:jc w:val="center"/>
              <w:rPr>
                <w:rFonts w:eastAsia="宋体" w:cs="Times New Roman"/>
                <w:sz w:val="21"/>
                <w:szCs w:val="21"/>
              </w:rPr>
            </w:pPr>
            <w:r>
              <w:rPr>
                <w:rFonts w:eastAsia="宋体" w:cs="Times New Roman"/>
                <w:bCs/>
                <w:sz w:val="21"/>
                <w:szCs w:val="21"/>
              </w:rPr>
              <w:t>一选厂筛分</w:t>
            </w:r>
          </w:p>
        </w:tc>
        <w:tc>
          <w:tcPr>
            <w:tcW w:w="680"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颗粒物</w:t>
            </w:r>
          </w:p>
        </w:tc>
        <w:tc>
          <w:tcPr>
            <w:tcW w:w="424"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有组织</w:t>
            </w:r>
          </w:p>
        </w:tc>
        <w:tc>
          <w:tcPr>
            <w:tcW w:w="509" w:type="pct"/>
            <w:vAlign w:val="center"/>
          </w:tcPr>
          <w:p>
            <w:pPr>
              <w:pStyle w:val="206"/>
              <w:snapToGrid w:val="0"/>
              <w:jc w:val="center"/>
              <w:rPr>
                <w:rFonts w:ascii="Times New Roman" w:hAnsi="Times New Roman"/>
                <w:szCs w:val="21"/>
              </w:rPr>
            </w:pPr>
            <w:r>
              <w:rPr>
                <w:rFonts w:ascii="Times New Roman" w:hAnsi="Times New Roman"/>
                <w:szCs w:val="21"/>
              </w:rPr>
              <w:t>DA006</w:t>
            </w:r>
          </w:p>
        </w:tc>
        <w:tc>
          <w:tcPr>
            <w:tcW w:w="780" w:type="pct"/>
            <w:vAlign w:val="center"/>
          </w:tcPr>
          <w:p>
            <w:pPr>
              <w:pStyle w:val="206"/>
              <w:snapToGrid w:val="0"/>
              <w:jc w:val="center"/>
              <w:rPr>
                <w:rFonts w:ascii="Times New Roman" w:hAnsi="Times New Roman"/>
                <w:szCs w:val="21"/>
              </w:rPr>
            </w:pPr>
            <w:r>
              <w:rPr>
                <w:rFonts w:ascii="Times New Roman" w:hAnsi="Times New Roman"/>
                <w:szCs w:val="21"/>
              </w:rPr>
              <w:t>10000吨筛分排放口2</w:t>
            </w:r>
          </w:p>
        </w:tc>
        <w:tc>
          <w:tcPr>
            <w:tcW w:w="641"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一般排放口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4"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11</w:t>
            </w:r>
          </w:p>
        </w:tc>
        <w:tc>
          <w:tcPr>
            <w:tcW w:w="937"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高效脉冲布袋除尘器+碱法脱硫塔</w:t>
            </w:r>
          </w:p>
        </w:tc>
        <w:tc>
          <w:tcPr>
            <w:tcW w:w="765" w:type="pct"/>
            <w:vAlign w:val="center"/>
          </w:tcPr>
          <w:p>
            <w:pPr>
              <w:snapToGrid w:val="0"/>
              <w:spacing w:line="240" w:lineRule="auto"/>
              <w:ind w:firstLine="0" w:firstLineChars="0"/>
              <w:jc w:val="center"/>
              <w:rPr>
                <w:rFonts w:eastAsia="宋体" w:cs="Times New Roman"/>
                <w:bCs/>
                <w:sz w:val="21"/>
                <w:szCs w:val="21"/>
              </w:rPr>
            </w:pPr>
            <w:r>
              <w:rPr>
                <w:rFonts w:eastAsia="宋体" w:cs="Times New Roman"/>
                <w:bCs/>
                <w:sz w:val="21"/>
                <w:szCs w:val="21"/>
              </w:rPr>
              <w:t>2台</w:t>
            </w:r>
            <w:r>
              <w:rPr>
                <w:rFonts w:hint="eastAsia" w:eastAsia="宋体" w:cs="Times New Roman"/>
                <w:bCs/>
                <w:sz w:val="21"/>
                <w:szCs w:val="21"/>
              </w:rPr>
              <w:t>热水</w:t>
            </w:r>
            <w:r>
              <w:rPr>
                <w:rFonts w:eastAsia="宋体" w:cs="Times New Roman"/>
                <w:bCs/>
                <w:sz w:val="21"/>
                <w:szCs w:val="21"/>
              </w:rPr>
              <w:t>锅炉</w:t>
            </w:r>
          </w:p>
        </w:tc>
        <w:tc>
          <w:tcPr>
            <w:tcW w:w="680" w:type="pct"/>
            <w:vAlign w:val="center"/>
          </w:tcPr>
          <w:p>
            <w:pPr>
              <w:snapToGrid w:val="0"/>
              <w:spacing w:line="240" w:lineRule="auto"/>
              <w:ind w:firstLine="0" w:firstLineChars="0"/>
              <w:jc w:val="center"/>
              <w:rPr>
                <w:rFonts w:eastAsia="宋体" w:cs="Times New Roman"/>
                <w:bCs/>
                <w:sz w:val="21"/>
                <w:szCs w:val="21"/>
                <w:vertAlign w:val="subscript"/>
              </w:rPr>
            </w:pPr>
            <w:r>
              <w:rPr>
                <w:rFonts w:eastAsia="宋体" w:cs="Times New Roman"/>
                <w:bCs/>
                <w:sz w:val="21"/>
                <w:szCs w:val="21"/>
              </w:rPr>
              <w:t>烟尘、SO</w:t>
            </w:r>
            <w:r>
              <w:rPr>
                <w:rFonts w:eastAsia="宋体" w:cs="Times New Roman"/>
                <w:bCs/>
                <w:sz w:val="21"/>
                <w:szCs w:val="21"/>
                <w:vertAlign w:val="subscript"/>
              </w:rPr>
              <w:t>2</w:t>
            </w:r>
            <w:r>
              <w:rPr>
                <w:rFonts w:eastAsia="宋体" w:cs="Times New Roman"/>
                <w:bCs/>
                <w:sz w:val="21"/>
                <w:szCs w:val="21"/>
              </w:rPr>
              <w:t>、</w:t>
            </w:r>
          </w:p>
          <w:p>
            <w:pPr>
              <w:snapToGrid w:val="0"/>
              <w:spacing w:line="240" w:lineRule="auto"/>
              <w:ind w:firstLine="0" w:firstLineChars="0"/>
              <w:jc w:val="center"/>
              <w:rPr>
                <w:rFonts w:eastAsia="宋体" w:cs="Times New Roman"/>
                <w:bCs/>
                <w:sz w:val="21"/>
                <w:szCs w:val="21"/>
              </w:rPr>
            </w:pPr>
            <w:r>
              <w:rPr>
                <w:rFonts w:eastAsia="宋体" w:cs="Times New Roman"/>
                <w:bCs/>
                <w:sz w:val="21"/>
                <w:szCs w:val="21"/>
              </w:rPr>
              <w:t>NOx、汞及其化合物、烟气黑度</w:t>
            </w:r>
          </w:p>
        </w:tc>
        <w:tc>
          <w:tcPr>
            <w:tcW w:w="424"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有组织</w:t>
            </w:r>
          </w:p>
        </w:tc>
        <w:tc>
          <w:tcPr>
            <w:tcW w:w="509" w:type="pct"/>
            <w:vAlign w:val="center"/>
          </w:tcPr>
          <w:p>
            <w:pPr>
              <w:pStyle w:val="206"/>
              <w:snapToGrid w:val="0"/>
              <w:jc w:val="center"/>
              <w:rPr>
                <w:rFonts w:ascii="Times New Roman" w:hAnsi="Times New Roman"/>
                <w:szCs w:val="21"/>
              </w:rPr>
            </w:pPr>
            <w:r>
              <w:rPr>
                <w:rFonts w:ascii="Times New Roman" w:hAnsi="Times New Roman"/>
                <w:szCs w:val="21"/>
              </w:rPr>
              <w:t>DA011</w:t>
            </w:r>
          </w:p>
        </w:tc>
        <w:tc>
          <w:tcPr>
            <w:tcW w:w="780" w:type="pct"/>
            <w:vAlign w:val="center"/>
          </w:tcPr>
          <w:p>
            <w:pPr>
              <w:pStyle w:val="206"/>
              <w:snapToGrid w:val="0"/>
              <w:jc w:val="center"/>
              <w:rPr>
                <w:rFonts w:ascii="Times New Roman" w:hAnsi="Times New Roman"/>
                <w:szCs w:val="21"/>
              </w:rPr>
            </w:pPr>
            <w:r>
              <w:rPr>
                <w:rFonts w:ascii="Times New Roman" w:hAnsi="Times New Roman"/>
                <w:szCs w:val="21"/>
              </w:rPr>
              <w:t>锅炉排气筒</w:t>
            </w:r>
          </w:p>
        </w:tc>
        <w:tc>
          <w:tcPr>
            <w:tcW w:w="641"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主要排放口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4"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12</w:t>
            </w:r>
          </w:p>
        </w:tc>
        <w:tc>
          <w:tcPr>
            <w:tcW w:w="937" w:type="pct"/>
            <w:vAlign w:val="center"/>
          </w:tcPr>
          <w:p>
            <w:pPr>
              <w:adjustRightInd w:val="0"/>
              <w:snapToGrid w:val="0"/>
              <w:spacing w:line="240" w:lineRule="auto"/>
              <w:ind w:firstLine="0" w:firstLineChars="0"/>
              <w:jc w:val="center"/>
              <w:rPr>
                <w:rFonts w:eastAsia="宋体" w:cs="Times New Roman"/>
                <w:kern w:val="0"/>
                <w:sz w:val="21"/>
                <w:szCs w:val="21"/>
              </w:rPr>
            </w:pPr>
            <w:r>
              <w:rPr>
                <w:rFonts w:eastAsia="宋体" w:cs="Times New Roman"/>
                <w:sz w:val="21"/>
                <w:szCs w:val="21"/>
              </w:rPr>
              <w:t>密闭</w:t>
            </w:r>
          </w:p>
        </w:tc>
        <w:tc>
          <w:tcPr>
            <w:tcW w:w="765" w:type="pct"/>
            <w:vAlign w:val="center"/>
          </w:tcPr>
          <w:p>
            <w:pPr>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输送系统、贮存系统</w:t>
            </w:r>
          </w:p>
        </w:tc>
        <w:tc>
          <w:tcPr>
            <w:tcW w:w="680" w:type="pct"/>
            <w:vAlign w:val="center"/>
          </w:tcPr>
          <w:p>
            <w:pPr>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颗粒物</w:t>
            </w:r>
          </w:p>
        </w:tc>
        <w:tc>
          <w:tcPr>
            <w:tcW w:w="424"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无组织</w:t>
            </w:r>
          </w:p>
        </w:tc>
        <w:tc>
          <w:tcPr>
            <w:tcW w:w="509"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MF003</w:t>
            </w:r>
          </w:p>
          <w:p>
            <w:pPr>
              <w:snapToGrid w:val="0"/>
              <w:spacing w:line="240" w:lineRule="auto"/>
              <w:ind w:firstLine="0" w:firstLineChars="0"/>
              <w:jc w:val="center"/>
              <w:rPr>
                <w:rFonts w:eastAsia="宋体" w:cs="Times New Roman"/>
                <w:sz w:val="21"/>
                <w:szCs w:val="21"/>
              </w:rPr>
            </w:pPr>
            <w:r>
              <w:rPr>
                <w:rFonts w:eastAsia="宋体" w:cs="Times New Roman"/>
                <w:sz w:val="21"/>
                <w:szCs w:val="21"/>
              </w:rPr>
              <w:t>MF004</w:t>
            </w:r>
          </w:p>
          <w:p>
            <w:pPr>
              <w:snapToGrid w:val="0"/>
              <w:spacing w:line="240" w:lineRule="auto"/>
              <w:ind w:firstLine="0" w:firstLineChars="0"/>
              <w:jc w:val="center"/>
              <w:rPr>
                <w:rFonts w:eastAsia="宋体" w:cs="Times New Roman"/>
                <w:sz w:val="21"/>
                <w:szCs w:val="21"/>
              </w:rPr>
            </w:pPr>
            <w:r>
              <w:rPr>
                <w:rFonts w:eastAsia="宋体" w:cs="Times New Roman"/>
                <w:sz w:val="21"/>
                <w:szCs w:val="21"/>
              </w:rPr>
              <w:t>MF005</w:t>
            </w:r>
          </w:p>
        </w:tc>
        <w:tc>
          <w:tcPr>
            <w:tcW w:w="780"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厂界</w:t>
            </w:r>
          </w:p>
        </w:tc>
        <w:tc>
          <w:tcPr>
            <w:tcW w:w="641"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无组织排放口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4"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13</w:t>
            </w:r>
          </w:p>
        </w:tc>
        <w:tc>
          <w:tcPr>
            <w:tcW w:w="937"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雾化喷淋降尘系统</w:t>
            </w:r>
          </w:p>
        </w:tc>
        <w:tc>
          <w:tcPr>
            <w:tcW w:w="765" w:type="pct"/>
            <w:vAlign w:val="center"/>
          </w:tcPr>
          <w:p>
            <w:pPr>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排渣、筑坝</w:t>
            </w:r>
          </w:p>
        </w:tc>
        <w:tc>
          <w:tcPr>
            <w:tcW w:w="680" w:type="pct"/>
            <w:vAlign w:val="center"/>
          </w:tcPr>
          <w:p>
            <w:pPr>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颗粒物</w:t>
            </w:r>
          </w:p>
        </w:tc>
        <w:tc>
          <w:tcPr>
            <w:tcW w:w="424"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无组织</w:t>
            </w:r>
          </w:p>
        </w:tc>
        <w:tc>
          <w:tcPr>
            <w:tcW w:w="509"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MF025</w:t>
            </w:r>
          </w:p>
          <w:p>
            <w:pPr>
              <w:snapToGrid w:val="0"/>
              <w:spacing w:line="240" w:lineRule="auto"/>
              <w:ind w:firstLine="0" w:firstLineChars="0"/>
              <w:jc w:val="center"/>
              <w:rPr>
                <w:rFonts w:eastAsia="宋体" w:cs="Times New Roman"/>
                <w:sz w:val="21"/>
                <w:szCs w:val="21"/>
              </w:rPr>
            </w:pPr>
            <w:r>
              <w:rPr>
                <w:rFonts w:eastAsia="宋体" w:cs="Times New Roman"/>
                <w:sz w:val="21"/>
                <w:szCs w:val="21"/>
              </w:rPr>
              <w:t>MF026</w:t>
            </w:r>
          </w:p>
        </w:tc>
        <w:tc>
          <w:tcPr>
            <w:tcW w:w="780" w:type="pct"/>
            <w:vAlign w:val="center"/>
          </w:tcPr>
          <w:p>
            <w:pPr>
              <w:snapToGrid w:val="0"/>
              <w:spacing w:line="240" w:lineRule="auto"/>
              <w:ind w:firstLine="0" w:firstLineChars="0"/>
              <w:jc w:val="center"/>
              <w:rPr>
                <w:rFonts w:eastAsia="宋体" w:cs="Times New Roman"/>
                <w:sz w:val="21"/>
                <w:szCs w:val="21"/>
              </w:rPr>
            </w:pPr>
            <w:r>
              <w:rPr>
                <w:rFonts w:eastAsia="宋体" w:cs="Times New Roman"/>
                <w:kern w:val="0"/>
                <w:sz w:val="21"/>
                <w:szCs w:val="21"/>
              </w:rPr>
              <w:t>尾矿库</w:t>
            </w:r>
          </w:p>
        </w:tc>
        <w:tc>
          <w:tcPr>
            <w:tcW w:w="641"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无组织排放口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4"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14</w:t>
            </w:r>
          </w:p>
        </w:tc>
        <w:tc>
          <w:tcPr>
            <w:tcW w:w="937"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w:t>
            </w:r>
          </w:p>
        </w:tc>
        <w:tc>
          <w:tcPr>
            <w:tcW w:w="765" w:type="pct"/>
            <w:vAlign w:val="center"/>
          </w:tcPr>
          <w:p>
            <w:pPr>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排渣</w:t>
            </w:r>
          </w:p>
        </w:tc>
        <w:tc>
          <w:tcPr>
            <w:tcW w:w="680" w:type="pct"/>
            <w:vAlign w:val="center"/>
          </w:tcPr>
          <w:p>
            <w:pPr>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颗粒物</w:t>
            </w:r>
          </w:p>
        </w:tc>
        <w:tc>
          <w:tcPr>
            <w:tcW w:w="424"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无组织</w:t>
            </w:r>
          </w:p>
        </w:tc>
        <w:tc>
          <w:tcPr>
            <w:tcW w:w="509"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MF0006</w:t>
            </w:r>
          </w:p>
        </w:tc>
        <w:tc>
          <w:tcPr>
            <w:tcW w:w="780" w:type="pct"/>
            <w:vAlign w:val="center"/>
          </w:tcPr>
          <w:p>
            <w:pPr>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厂界</w:t>
            </w:r>
          </w:p>
        </w:tc>
        <w:tc>
          <w:tcPr>
            <w:tcW w:w="641"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无组织排放口</w:t>
            </w:r>
          </w:p>
        </w:tc>
      </w:tr>
    </w:tbl>
    <w:p>
      <w:pPr>
        <w:pStyle w:val="4"/>
        <w:rPr>
          <w:rFonts w:cs="Times New Roman"/>
        </w:rPr>
      </w:pPr>
      <w:bookmarkStart w:id="88" w:name="_Toc94185480"/>
      <w:r>
        <w:rPr>
          <w:rFonts w:cs="Times New Roman"/>
        </w:rPr>
        <w:t>5.1.3非正常运行污染防治设施情况</w:t>
      </w:r>
      <w:bookmarkEnd w:id="88"/>
    </w:p>
    <w:p>
      <w:pPr>
        <w:adjustRightInd w:val="0"/>
        <w:snapToGrid w:val="0"/>
        <w:ind w:firstLine="480"/>
        <w:rPr>
          <w:rFonts w:cs="Times New Roman"/>
          <w:color w:val="FF0000"/>
        </w:rPr>
      </w:pPr>
      <w:r>
        <w:rPr>
          <w:rFonts w:cs="Times New Roman"/>
        </w:rPr>
        <w:t>202</w:t>
      </w:r>
      <w:r>
        <w:rPr>
          <w:rFonts w:hint="eastAsia" w:cs="Times New Roman"/>
        </w:rPr>
        <w:t>2</w:t>
      </w:r>
      <w:r>
        <w:rPr>
          <w:rFonts w:cs="Times New Roman"/>
        </w:rPr>
        <w:t>年，</w:t>
      </w:r>
      <w:r>
        <w:rPr>
          <w:rFonts w:hint="eastAsia" w:cs="Times New Roman"/>
        </w:rPr>
        <w:t>曙光金铜矿</w:t>
      </w:r>
      <w:r>
        <w:rPr>
          <w:rFonts w:cs="Times New Roman"/>
        </w:rPr>
        <w:t>各项污染防治设施全部正常运行。</w:t>
      </w:r>
    </w:p>
    <w:p>
      <w:pPr>
        <w:pStyle w:val="4"/>
        <w:rPr>
          <w:rFonts w:cs="Times New Roman"/>
        </w:rPr>
      </w:pPr>
      <w:bookmarkStart w:id="89" w:name="_Toc94185481"/>
      <w:r>
        <w:rPr>
          <w:rFonts w:cs="Times New Roman"/>
        </w:rPr>
        <w:t>5.1.4污染防治设施第三方运行维护情况</w:t>
      </w:r>
      <w:bookmarkEnd w:id="89"/>
    </w:p>
    <w:p>
      <w:pPr>
        <w:adjustRightInd w:val="0"/>
        <w:snapToGrid w:val="0"/>
        <w:ind w:firstLine="480"/>
        <w:rPr>
          <w:rFonts w:cs="Times New Roman"/>
        </w:rPr>
      </w:pPr>
      <w:r>
        <w:rPr>
          <w:rFonts w:hint="eastAsia" w:cs="Times New Roman"/>
        </w:rPr>
        <w:t>曙光金铜矿</w:t>
      </w:r>
      <w:r>
        <w:rPr>
          <w:rFonts w:cs="Times New Roman"/>
        </w:rPr>
        <w:t>废水和废气污染防治设施全部自行运行维护，不存在第三方负责运行维护的情况。</w:t>
      </w:r>
    </w:p>
    <w:p>
      <w:pPr>
        <w:pStyle w:val="3"/>
        <w:rPr>
          <w:rFonts w:cs="Times New Roman"/>
          <w:szCs w:val="28"/>
        </w:rPr>
      </w:pPr>
      <w:bookmarkStart w:id="90" w:name="_Toc94185482"/>
      <w:bookmarkStart w:id="91" w:name="_Toc127266652"/>
      <w:bookmarkStart w:id="92" w:name="_Toc97540960"/>
      <w:r>
        <w:rPr>
          <w:rFonts w:cs="Times New Roman"/>
          <w:szCs w:val="28"/>
        </w:rPr>
        <w:t>5.2 主要水污染物、大气污染物排放相关信息</w:t>
      </w:r>
      <w:bookmarkEnd w:id="90"/>
      <w:bookmarkEnd w:id="91"/>
      <w:bookmarkEnd w:id="92"/>
    </w:p>
    <w:p>
      <w:pPr>
        <w:pStyle w:val="4"/>
        <w:rPr>
          <w:rFonts w:cs="Times New Roman"/>
        </w:rPr>
      </w:pPr>
      <w:bookmarkStart w:id="93" w:name="_Toc94185483"/>
      <w:r>
        <w:rPr>
          <w:rFonts w:cs="Times New Roman"/>
        </w:rPr>
        <w:t>5.2.1水污染物排放情况</w:t>
      </w:r>
      <w:bookmarkEnd w:id="93"/>
    </w:p>
    <w:p>
      <w:pPr>
        <w:ind w:firstLine="480"/>
      </w:pPr>
      <w:r>
        <w:rPr>
          <w:rFonts w:hint="eastAsia"/>
        </w:rPr>
        <w:t>曙光金铜矿运营过程中产生的废水主要为生产废水和生活污水。生产废水主要为矿井涌水、选矿废水、车间冲洗水、废石场淋溶水等。井下涌水及循环水经沉淀池处理后回用于选矿生产；选矿废水、车间冲洗水经浓密机、尾矿库沉淀后返回选矿工艺回用；废石场淋溶水在废石场拦渣坝下设有收集池，收集后回用于选矿工艺；生活污水经二级生化处理后，夏季用于矿区绿化、冬季回用于选矿系统。</w:t>
      </w:r>
      <w:r>
        <w:t>整个矿区</w:t>
      </w:r>
      <w:r>
        <w:rPr>
          <w:rFonts w:hint="eastAsia"/>
        </w:rPr>
        <w:t>产生的废水全部回用，</w:t>
      </w:r>
      <w:r>
        <w:t>不外排。</w:t>
      </w:r>
    </w:p>
    <w:p>
      <w:pPr>
        <w:ind w:firstLine="480"/>
        <w:rPr>
          <w:rFonts w:cs="Times New Roman"/>
        </w:rPr>
      </w:pPr>
      <w:r>
        <w:t>企业</w:t>
      </w:r>
      <w:r>
        <w:rPr>
          <w:rFonts w:hint="eastAsia"/>
        </w:rPr>
        <w:t>不设</w:t>
      </w:r>
      <w:r>
        <w:t>废水排放口</w:t>
      </w:r>
      <w:r>
        <w:rPr>
          <w:rFonts w:hint="eastAsia"/>
        </w:rPr>
        <w:t>（仅设1个雨水排放口），</w:t>
      </w:r>
      <w:r>
        <w:rPr>
          <w:rFonts w:cs="Times New Roman"/>
        </w:rPr>
        <w:t>企业内无废水无组织排放情况。</w:t>
      </w:r>
    </w:p>
    <w:p>
      <w:pPr>
        <w:pStyle w:val="4"/>
        <w:rPr>
          <w:rFonts w:cs="Times New Roman"/>
        </w:rPr>
      </w:pPr>
      <w:bookmarkStart w:id="94" w:name="_Toc94185484"/>
      <w:r>
        <w:rPr>
          <w:rFonts w:cs="Times New Roman"/>
        </w:rPr>
        <w:t>5.2.2大气污染物排放情况</w:t>
      </w:r>
      <w:bookmarkEnd w:id="94"/>
    </w:p>
    <w:p>
      <w:pPr>
        <w:autoSpaceDE w:val="0"/>
        <w:autoSpaceDN w:val="0"/>
        <w:adjustRightInd w:val="0"/>
        <w:snapToGrid w:val="0"/>
        <w:ind w:firstLine="480"/>
        <w:jc w:val="left"/>
        <w:rPr>
          <w:rFonts w:cs="Times New Roman"/>
        </w:rPr>
      </w:pPr>
      <w:r>
        <w:rPr>
          <w:rFonts w:hint="eastAsia"/>
        </w:rPr>
        <w:t>曙光金铜矿产生废气分为：有组织排放废气和无组织排放废气。其中，有组织排放</w:t>
      </w:r>
      <w:r>
        <w:t>主要</w:t>
      </w:r>
      <w:r>
        <w:rPr>
          <w:rFonts w:hint="eastAsia"/>
        </w:rPr>
        <w:t>包括选矿</w:t>
      </w:r>
      <w:r>
        <w:t>生产工艺粉尘（粗碎、中细碎、筛分）和锅炉烟气；无组织排放源包括采矿厂采矿粉尘（爆破、车辆运输）、排土场和尾矿库扬尘。</w:t>
      </w:r>
    </w:p>
    <w:p>
      <w:pPr>
        <w:autoSpaceDE w:val="0"/>
        <w:autoSpaceDN w:val="0"/>
        <w:adjustRightInd w:val="0"/>
        <w:snapToGrid w:val="0"/>
        <w:ind w:firstLine="480"/>
        <w:jc w:val="left"/>
        <w:rPr>
          <w:rFonts w:cs="Times New Roman"/>
        </w:rPr>
      </w:pPr>
      <w:r>
        <w:rPr>
          <w:rFonts w:hint="eastAsia"/>
        </w:rPr>
        <w:t>曙光金铜矿</w:t>
      </w:r>
      <w:r>
        <w:rPr>
          <w:rFonts w:cs="Times New Roman"/>
        </w:rPr>
        <w:t>现有</w:t>
      </w:r>
      <w:r>
        <w:rPr>
          <w:rFonts w:hint="eastAsia" w:cs="Times New Roman"/>
        </w:rPr>
        <w:t>有组织</w:t>
      </w:r>
      <w:r>
        <w:rPr>
          <w:rFonts w:cs="Times New Roman"/>
        </w:rPr>
        <w:t>废气排放口</w:t>
      </w:r>
      <w:r>
        <w:rPr>
          <w:rFonts w:hint="eastAsia" w:cs="Times New Roman"/>
        </w:rPr>
        <w:t>11</w:t>
      </w:r>
      <w:r>
        <w:rPr>
          <w:rFonts w:cs="Times New Roman"/>
        </w:rPr>
        <w:t>个，其中主要排放口</w:t>
      </w:r>
      <w:r>
        <w:rPr>
          <w:rFonts w:hint="eastAsia" w:cs="Times New Roman"/>
        </w:rPr>
        <w:t>1</w:t>
      </w:r>
      <w:r>
        <w:rPr>
          <w:rFonts w:cs="Times New Roman"/>
        </w:rPr>
        <w:t>个，</w:t>
      </w:r>
      <w:r>
        <w:rPr>
          <w:rFonts w:hint="eastAsia" w:cs="Times New Roman"/>
        </w:rPr>
        <w:t>为锅炉</w:t>
      </w:r>
      <w:r>
        <w:rPr>
          <w:rFonts w:hint="eastAsia" w:cs="Times New Roman"/>
          <w:szCs w:val="21"/>
        </w:rPr>
        <w:t>排气筒（DA011）。锅炉每年1~4、10~12运行7个月，</w:t>
      </w:r>
      <w:r>
        <w:rPr>
          <w:rFonts w:cs="Times New Roman"/>
          <w:szCs w:val="21"/>
        </w:rPr>
        <w:t>排放口</w:t>
      </w:r>
      <w:r>
        <w:rPr>
          <w:rFonts w:hint="eastAsia" w:cs="Times New Roman"/>
        </w:rPr>
        <w:t>未</w:t>
      </w:r>
      <w:r>
        <w:rPr>
          <w:rFonts w:cs="Times New Roman"/>
        </w:rPr>
        <w:t>安装在线自动监测装置</w:t>
      </w:r>
      <w:r>
        <w:rPr>
          <w:rFonts w:hint="eastAsia" w:cs="Times New Roman"/>
        </w:rPr>
        <w:t>。</w:t>
      </w:r>
    </w:p>
    <w:p>
      <w:pPr>
        <w:adjustRightInd w:val="0"/>
        <w:snapToGrid w:val="0"/>
        <w:ind w:firstLine="480"/>
      </w:pPr>
      <w:r>
        <w:t>曙光金铜矿现有锅炉房安装2台7MW热水锅炉（锅炉型号：SZW7-1.0/115/80-AII），</w:t>
      </w:r>
      <w:r>
        <w:rPr>
          <w:rFonts w:hint="eastAsia"/>
        </w:rPr>
        <w:t>每年1-4月，10-12月共运行七个月。锅炉烟气排放执行</w:t>
      </w:r>
      <w:bookmarkStart w:id="95" w:name="_Toc380682299"/>
      <w:r>
        <w:t>《</w:t>
      </w:r>
      <w:r>
        <w:rPr>
          <w:rFonts w:hint="eastAsia"/>
        </w:rPr>
        <w:t>锅炉</w:t>
      </w:r>
      <w:r>
        <w:t>大气污染物排放标准》</w:t>
      </w:r>
      <w:r>
        <w:rPr>
          <w:rFonts w:hint="eastAsia"/>
        </w:rPr>
        <w:t>（GB13271-20</w:t>
      </w:r>
      <w:bookmarkEnd w:id="95"/>
      <w:r>
        <w:rPr>
          <w:rFonts w:hint="eastAsia"/>
        </w:rPr>
        <w:t>14），中细碎、筛分车间粉尘排放执行《铜、镍、钴工业污染物排放标准》（GB25467-2010）。</w:t>
      </w:r>
    </w:p>
    <w:p>
      <w:pPr>
        <w:adjustRightInd w:val="0"/>
        <w:snapToGrid w:val="0"/>
        <w:ind w:firstLine="480"/>
        <w:rPr>
          <w:rFonts w:cs="Times New Roman"/>
        </w:rPr>
      </w:pPr>
      <w:r>
        <w:rPr>
          <w:rFonts w:hint="eastAsia"/>
        </w:rPr>
        <w:t>曙光金铜矿</w:t>
      </w:r>
      <w:r>
        <w:rPr>
          <w:rFonts w:cs="Times New Roman"/>
        </w:rPr>
        <w:t>主要废气排放口污染物排放情况见表5.2-</w:t>
      </w:r>
      <w:r>
        <w:rPr>
          <w:rFonts w:hint="eastAsia" w:cs="Times New Roman"/>
        </w:rPr>
        <w:t>1</w:t>
      </w:r>
      <w:r>
        <w:rPr>
          <w:rFonts w:cs="Times New Roman"/>
        </w:rPr>
        <w:t>。</w:t>
      </w:r>
    </w:p>
    <w:p>
      <w:pPr>
        <w:ind w:firstLine="0" w:firstLineChars="0"/>
        <w:jc w:val="center"/>
        <w:rPr>
          <w:rFonts w:eastAsia="黑体" w:cs="Times New Roman"/>
        </w:rPr>
      </w:pPr>
      <w:r>
        <w:rPr>
          <w:rFonts w:eastAsia="黑体" w:cs="Times New Roman"/>
        </w:rPr>
        <w:t>表5.2-</w:t>
      </w:r>
      <w:r>
        <w:rPr>
          <w:rFonts w:hint="eastAsia" w:eastAsia="黑体" w:cs="Times New Roman"/>
        </w:rPr>
        <w:t>1</w:t>
      </w:r>
      <w:r>
        <w:rPr>
          <w:rFonts w:eastAsia="黑体" w:cs="Times New Roman"/>
        </w:rPr>
        <w:t xml:space="preserve"> </w:t>
      </w:r>
      <w:r>
        <w:rPr>
          <w:rFonts w:hint="eastAsia" w:eastAsia="黑体" w:cs="Times New Roman"/>
        </w:rPr>
        <w:t xml:space="preserve"> 曙光金铜矿</w:t>
      </w:r>
      <w:r>
        <w:rPr>
          <w:rFonts w:eastAsia="黑体" w:cs="Times New Roman"/>
        </w:rPr>
        <w:t>主要废气</w:t>
      </w:r>
      <w:r>
        <w:rPr>
          <w:rFonts w:hint="eastAsia" w:eastAsia="黑体" w:cs="Times New Roman"/>
        </w:rPr>
        <w:t>排放</w:t>
      </w:r>
      <w:r>
        <w:rPr>
          <w:rFonts w:eastAsia="黑体" w:cs="Times New Roman"/>
        </w:rPr>
        <w:t>口污染物排放情况</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42"/>
        <w:gridCol w:w="928"/>
        <w:gridCol w:w="1685"/>
        <w:gridCol w:w="796"/>
        <w:gridCol w:w="1276"/>
        <w:gridCol w:w="1278"/>
        <w:gridCol w:w="691"/>
        <w:gridCol w:w="11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91" w:type="pct"/>
            <w:vAlign w:val="center"/>
          </w:tcPr>
          <w:p>
            <w:pPr>
              <w:widowControl/>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编号</w:t>
            </w:r>
          </w:p>
        </w:tc>
        <w:tc>
          <w:tcPr>
            <w:tcW w:w="541" w:type="pct"/>
            <w:vAlign w:val="center"/>
          </w:tcPr>
          <w:p>
            <w:pPr>
              <w:widowControl/>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排放口名称</w:t>
            </w:r>
          </w:p>
        </w:tc>
        <w:tc>
          <w:tcPr>
            <w:tcW w:w="981" w:type="pct"/>
            <w:vAlign w:val="center"/>
          </w:tcPr>
          <w:p>
            <w:pPr>
              <w:widowControl/>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监测项目</w:t>
            </w:r>
          </w:p>
        </w:tc>
        <w:tc>
          <w:tcPr>
            <w:tcW w:w="464" w:type="pct"/>
            <w:vAlign w:val="center"/>
          </w:tcPr>
          <w:p>
            <w:pPr>
              <w:adjustRightInd w:val="0"/>
              <w:snapToGrid w:val="0"/>
              <w:spacing w:line="240" w:lineRule="auto"/>
              <w:ind w:firstLine="0" w:firstLineChars="0"/>
              <w:jc w:val="center"/>
              <w:rPr>
                <w:rFonts w:eastAsia="宋体" w:cs="Times New Roman"/>
                <w:kern w:val="0"/>
                <w:sz w:val="21"/>
                <w:szCs w:val="21"/>
              </w:rPr>
            </w:pPr>
            <w:r>
              <w:rPr>
                <w:rFonts w:hint="eastAsia" w:eastAsia="宋体" w:cs="Times New Roman"/>
                <w:kern w:val="0"/>
                <w:sz w:val="21"/>
                <w:szCs w:val="21"/>
              </w:rPr>
              <w:t>监测设施</w:t>
            </w:r>
          </w:p>
        </w:tc>
        <w:tc>
          <w:tcPr>
            <w:tcW w:w="743" w:type="pct"/>
            <w:vAlign w:val="center"/>
          </w:tcPr>
          <w:p>
            <w:pPr>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小时浓度</w:t>
            </w:r>
          </w:p>
          <w:p>
            <w:pPr>
              <w:adjustRightInd w:val="0"/>
              <w:snapToGrid w:val="0"/>
              <w:spacing w:line="240" w:lineRule="auto"/>
              <w:ind w:firstLine="0" w:firstLineChars="0"/>
              <w:jc w:val="center"/>
              <w:rPr>
                <w:rFonts w:eastAsia="宋体" w:cs="Times New Roman"/>
                <w:kern w:val="0"/>
                <w:sz w:val="21"/>
                <w:szCs w:val="21"/>
              </w:rPr>
            </w:pPr>
            <w:r>
              <w:rPr>
                <w:rFonts w:hint="eastAsia" w:eastAsia="宋体" w:cs="Times New Roman"/>
                <w:kern w:val="0"/>
                <w:sz w:val="21"/>
                <w:szCs w:val="21"/>
              </w:rPr>
              <w:t>（</w:t>
            </w:r>
            <w:r>
              <w:rPr>
                <w:rFonts w:eastAsia="宋体" w:cs="Times New Roman"/>
                <w:kern w:val="0"/>
                <w:sz w:val="21"/>
                <w:szCs w:val="21"/>
              </w:rPr>
              <w:t>mg/m</w:t>
            </w:r>
            <w:r>
              <w:rPr>
                <w:rFonts w:eastAsia="宋体" w:cs="Times New Roman"/>
                <w:kern w:val="0"/>
                <w:sz w:val="21"/>
                <w:szCs w:val="21"/>
                <w:vertAlign w:val="superscript"/>
              </w:rPr>
              <w:t>3</w:t>
            </w:r>
            <w:r>
              <w:rPr>
                <w:rFonts w:hint="eastAsia" w:eastAsia="宋体" w:cs="Times New Roman"/>
                <w:kern w:val="0"/>
                <w:sz w:val="21"/>
                <w:szCs w:val="21"/>
              </w:rPr>
              <w:t>）</w:t>
            </w:r>
          </w:p>
        </w:tc>
        <w:tc>
          <w:tcPr>
            <w:tcW w:w="744" w:type="pct"/>
            <w:vAlign w:val="center"/>
          </w:tcPr>
          <w:p>
            <w:pPr>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排放标准</w:t>
            </w:r>
            <w:r>
              <w:rPr>
                <w:rFonts w:hint="eastAsia" w:eastAsia="宋体" w:cs="Times New Roman"/>
                <w:kern w:val="0"/>
                <w:sz w:val="21"/>
                <w:szCs w:val="21"/>
              </w:rPr>
              <w:t>（</w:t>
            </w:r>
            <w:r>
              <w:rPr>
                <w:rFonts w:eastAsia="宋体" w:cs="Times New Roman"/>
                <w:kern w:val="0"/>
                <w:sz w:val="21"/>
                <w:szCs w:val="21"/>
              </w:rPr>
              <w:t>mg/m</w:t>
            </w:r>
            <w:r>
              <w:rPr>
                <w:rFonts w:eastAsia="宋体" w:cs="Times New Roman"/>
                <w:kern w:val="0"/>
                <w:sz w:val="21"/>
                <w:szCs w:val="21"/>
                <w:vertAlign w:val="superscript"/>
              </w:rPr>
              <w:t>3</w:t>
            </w:r>
            <w:r>
              <w:rPr>
                <w:rFonts w:hint="eastAsia" w:eastAsia="宋体" w:cs="Times New Roman"/>
                <w:kern w:val="0"/>
                <w:sz w:val="21"/>
                <w:szCs w:val="21"/>
              </w:rPr>
              <w:t>）</w:t>
            </w:r>
          </w:p>
        </w:tc>
        <w:tc>
          <w:tcPr>
            <w:tcW w:w="403" w:type="pct"/>
            <w:vAlign w:val="center"/>
          </w:tcPr>
          <w:p>
            <w:pPr>
              <w:widowControl/>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达标情况</w:t>
            </w:r>
          </w:p>
        </w:tc>
        <w:tc>
          <w:tcPr>
            <w:tcW w:w="633" w:type="pct"/>
            <w:vAlign w:val="center"/>
          </w:tcPr>
          <w:p>
            <w:pPr>
              <w:widowControl/>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实际排放量</w:t>
            </w:r>
            <w:r>
              <w:rPr>
                <w:rFonts w:eastAsia="宋体" w:cs="Times New Roman"/>
                <w:sz w:val="21"/>
                <w:szCs w:val="21"/>
              </w:rPr>
              <w:t>（t）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1" w:type="pct"/>
            <w:vMerge w:val="restar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DA0</w:t>
            </w:r>
            <w:r>
              <w:rPr>
                <w:rFonts w:hint="eastAsia" w:eastAsia="宋体" w:cs="Times New Roman"/>
                <w:sz w:val="21"/>
                <w:szCs w:val="21"/>
              </w:rPr>
              <w:t>11</w:t>
            </w:r>
          </w:p>
        </w:tc>
        <w:tc>
          <w:tcPr>
            <w:tcW w:w="541" w:type="pct"/>
            <w:vMerge w:val="restart"/>
            <w:vAlign w:val="center"/>
          </w:tcPr>
          <w:p>
            <w:pPr>
              <w:widowControl/>
              <w:adjustRightInd w:val="0"/>
              <w:snapToGrid w:val="0"/>
              <w:spacing w:line="240" w:lineRule="auto"/>
              <w:ind w:firstLine="0" w:firstLineChars="0"/>
              <w:jc w:val="center"/>
              <w:rPr>
                <w:rFonts w:eastAsia="宋体" w:cs="Times New Roman"/>
                <w:sz w:val="21"/>
                <w:szCs w:val="21"/>
              </w:rPr>
            </w:pPr>
            <w:r>
              <w:rPr>
                <w:rFonts w:hint="eastAsia" w:eastAsia="宋体" w:cs="Times New Roman"/>
                <w:sz w:val="21"/>
                <w:szCs w:val="21"/>
              </w:rPr>
              <w:t>锅炉排气筒</w:t>
            </w:r>
          </w:p>
        </w:tc>
        <w:tc>
          <w:tcPr>
            <w:tcW w:w="981" w:type="pct"/>
            <w:vAlign w:val="center"/>
          </w:tcPr>
          <w:p>
            <w:pPr>
              <w:widowControl/>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颗粒物</w:t>
            </w:r>
          </w:p>
        </w:tc>
        <w:tc>
          <w:tcPr>
            <w:tcW w:w="464" w:type="pct"/>
            <w:vAlign w:val="center"/>
          </w:tcPr>
          <w:p>
            <w:pPr>
              <w:adjustRightInd w:val="0"/>
              <w:snapToGrid w:val="0"/>
              <w:spacing w:line="240" w:lineRule="auto"/>
              <w:ind w:firstLine="0" w:firstLineChars="0"/>
              <w:jc w:val="center"/>
              <w:rPr>
                <w:rFonts w:eastAsia="宋体" w:cs="Times New Roman"/>
                <w:color w:val="000000"/>
                <w:sz w:val="21"/>
                <w:szCs w:val="21"/>
              </w:rPr>
            </w:pPr>
            <w:r>
              <w:rPr>
                <w:rFonts w:hint="eastAsia" w:eastAsia="宋体" w:cs="Times New Roman"/>
                <w:color w:val="000000"/>
                <w:sz w:val="21"/>
                <w:szCs w:val="21"/>
              </w:rPr>
              <w:t>手工</w:t>
            </w:r>
          </w:p>
        </w:tc>
        <w:tc>
          <w:tcPr>
            <w:tcW w:w="743" w:type="pct"/>
            <w:vAlign w:val="center"/>
          </w:tcPr>
          <w:p>
            <w:pPr>
              <w:spacing w:line="240" w:lineRule="auto"/>
              <w:ind w:firstLine="0" w:firstLineChars="0"/>
              <w:jc w:val="center"/>
              <w:rPr>
                <w:sz w:val="21"/>
              </w:rPr>
            </w:pPr>
            <w:r>
              <w:rPr>
                <w:rFonts w:hint="eastAsia"/>
                <w:sz w:val="21"/>
              </w:rPr>
              <w:t>43.75</w:t>
            </w:r>
          </w:p>
        </w:tc>
        <w:tc>
          <w:tcPr>
            <w:tcW w:w="744" w:type="pct"/>
            <w:vAlign w:val="center"/>
          </w:tcPr>
          <w:p>
            <w:pPr>
              <w:spacing w:line="240" w:lineRule="auto"/>
              <w:ind w:firstLine="0" w:firstLineChars="0"/>
              <w:jc w:val="center"/>
              <w:rPr>
                <w:sz w:val="21"/>
              </w:rPr>
            </w:pPr>
            <w:r>
              <w:rPr>
                <w:rFonts w:hint="eastAsia"/>
                <w:sz w:val="21"/>
              </w:rPr>
              <w:t>80</w:t>
            </w:r>
          </w:p>
        </w:tc>
        <w:tc>
          <w:tcPr>
            <w:tcW w:w="403" w:type="pct"/>
            <w:vAlign w:val="center"/>
          </w:tcPr>
          <w:p>
            <w:pPr>
              <w:widowControl/>
              <w:adjustRightInd w:val="0"/>
              <w:snapToGrid w:val="0"/>
              <w:spacing w:line="240" w:lineRule="auto"/>
              <w:ind w:firstLine="0" w:firstLineChars="0"/>
              <w:jc w:val="center"/>
              <w:rPr>
                <w:rFonts w:eastAsia="宋体" w:cs="Times New Roman"/>
                <w:kern w:val="0"/>
                <w:sz w:val="21"/>
                <w:szCs w:val="21"/>
              </w:rPr>
            </w:pPr>
            <w:r>
              <w:rPr>
                <w:rFonts w:eastAsia="宋体" w:cs="Times New Roman"/>
                <w:sz w:val="21"/>
                <w:szCs w:val="21"/>
              </w:rPr>
              <w:t>达标</w:t>
            </w:r>
          </w:p>
        </w:tc>
        <w:tc>
          <w:tcPr>
            <w:tcW w:w="633" w:type="pct"/>
            <w:vAlign w:val="center"/>
          </w:tcPr>
          <w:p>
            <w:pPr>
              <w:widowControl/>
              <w:adjustRightInd w:val="0"/>
              <w:snapToGrid w:val="0"/>
              <w:spacing w:line="240" w:lineRule="auto"/>
              <w:ind w:firstLine="0" w:firstLineChars="0"/>
              <w:jc w:val="center"/>
              <w:rPr>
                <w:rFonts w:eastAsia="宋体" w:cs="Times New Roman"/>
                <w:kern w:val="0"/>
                <w:sz w:val="21"/>
                <w:szCs w:val="21"/>
                <w:highlight w:val="yellow"/>
              </w:rPr>
            </w:pPr>
            <w:r>
              <w:rPr>
                <w:rFonts w:hint="eastAsia" w:eastAsia="宋体" w:cs="Times New Roman"/>
                <w:kern w:val="0"/>
                <w:sz w:val="21"/>
                <w:szCs w:val="21"/>
              </w:rPr>
              <w:t>3.927208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1" w:type="pct"/>
            <w:vMerge w:val="continue"/>
            <w:vAlign w:val="center"/>
          </w:tcPr>
          <w:p>
            <w:pPr>
              <w:adjustRightInd w:val="0"/>
              <w:snapToGrid w:val="0"/>
              <w:spacing w:line="240" w:lineRule="auto"/>
              <w:ind w:firstLine="0" w:firstLineChars="0"/>
              <w:jc w:val="center"/>
              <w:rPr>
                <w:rFonts w:eastAsia="宋体" w:cs="Times New Roman"/>
                <w:sz w:val="21"/>
                <w:szCs w:val="21"/>
              </w:rPr>
            </w:pPr>
          </w:p>
        </w:tc>
        <w:tc>
          <w:tcPr>
            <w:tcW w:w="541" w:type="pct"/>
            <w:vMerge w:val="continue"/>
            <w:vAlign w:val="center"/>
          </w:tcPr>
          <w:p>
            <w:pPr>
              <w:widowControl/>
              <w:adjustRightInd w:val="0"/>
              <w:snapToGrid w:val="0"/>
              <w:spacing w:line="240" w:lineRule="auto"/>
              <w:ind w:firstLine="0" w:firstLineChars="0"/>
              <w:jc w:val="center"/>
              <w:rPr>
                <w:rFonts w:eastAsia="宋体" w:cs="Times New Roman"/>
                <w:sz w:val="21"/>
                <w:szCs w:val="21"/>
              </w:rPr>
            </w:pPr>
          </w:p>
        </w:tc>
        <w:tc>
          <w:tcPr>
            <w:tcW w:w="981" w:type="pct"/>
            <w:vAlign w:val="center"/>
          </w:tcPr>
          <w:p>
            <w:pPr>
              <w:widowControl/>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二氧化硫</w:t>
            </w:r>
          </w:p>
        </w:tc>
        <w:tc>
          <w:tcPr>
            <w:tcW w:w="464" w:type="pct"/>
            <w:vAlign w:val="center"/>
          </w:tcPr>
          <w:p>
            <w:pPr>
              <w:adjustRightInd w:val="0"/>
              <w:snapToGrid w:val="0"/>
              <w:spacing w:line="240" w:lineRule="auto"/>
              <w:ind w:firstLine="0" w:firstLineChars="0"/>
              <w:jc w:val="center"/>
              <w:rPr>
                <w:rFonts w:eastAsia="宋体" w:cs="Times New Roman"/>
                <w:color w:val="000000"/>
                <w:sz w:val="21"/>
                <w:szCs w:val="21"/>
              </w:rPr>
            </w:pPr>
            <w:r>
              <w:rPr>
                <w:rFonts w:hint="eastAsia" w:eastAsia="宋体" w:cs="Times New Roman"/>
                <w:color w:val="000000"/>
                <w:sz w:val="21"/>
                <w:szCs w:val="21"/>
              </w:rPr>
              <w:t>手工</w:t>
            </w:r>
          </w:p>
        </w:tc>
        <w:tc>
          <w:tcPr>
            <w:tcW w:w="743" w:type="pct"/>
            <w:vAlign w:val="center"/>
          </w:tcPr>
          <w:p>
            <w:pPr>
              <w:spacing w:line="240" w:lineRule="auto"/>
              <w:ind w:firstLine="0" w:firstLineChars="0"/>
              <w:jc w:val="center"/>
              <w:rPr>
                <w:sz w:val="21"/>
              </w:rPr>
            </w:pPr>
            <w:r>
              <w:rPr>
                <w:rFonts w:hint="eastAsia"/>
                <w:sz w:val="21"/>
              </w:rPr>
              <w:t>180.92</w:t>
            </w:r>
          </w:p>
        </w:tc>
        <w:tc>
          <w:tcPr>
            <w:tcW w:w="744" w:type="pct"/>
            <w:vAlign w:val="center"/>
          </w:tcPr>
          <w:p>
            <w:pPr>
              <w:spacing w:line="240" w:lineRule="auto"/>
              <w:ind w:firstLine="0" w:firstLineChars="0"/>
              <w:jc w:val="center"/>
              <w:rPr>
                <w:sz w:val="21"/>
              </w:rPr>
            </w:pPr>
            <w:r>
              <w:rPr>
                <w:rFonts w:hint="eastAsia"/>
                <w:sz w:val="21"/>
              </w:rPr>
              <w:t>400</w:t>
            </w:r>
          </w:p>
        </w:tc>
        <w:tc>
          <w:tcPr>
            <w:tcW w:w="403" w:type="pct"/>
            <w:vAlign w:val="center"/>
          </w:tcPr>
          <w:p>
            <w:pPr>
              <w:widowControl/>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达标</w:t>
            </w:r>
          </w:p>
        </w:tc>
        <w:tc>
          <w:tcPr>
            <w:tcW w:w="633" w:type="pct"/>
            <w:vAlign w:val="center"/>
          </w:tcPr>
          <w:p>
            <w:pPr>
              <w:widowControl/>
              <w:adjustRightInd w:val="0"/>
              <w:snapToGrid w:val="0"/>
              <w:spacing w:line="240" w:lineRule="auto"/>
              <w:ind w:firstLine="0" w:firstLineChars="0"/>
              <w:jc w:val="center"/>
              <w:rPr>
                <w:rFonts w:eastAsia="宋体" w:cs="Times New Roman"/>
                <w:kern w:val="0"/>
                <w:sz w:val="21"/>
                <w:szCs w:val="21"/>
              </w:rPr>
            </w:pPr>
            <w:r>
              <w:rPr>
                <w:rFonts w:hint="eastAsia" w:eastAsia="宋体" w:cs="Times New Roman"/>
                <w:kern w:val="0"/>
                <w:sz w:val="21"/>
                <w:szCs w:val="21"/>
              </w:rPr>
              <w:t>12.613129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1" w:type="pct"/>
            <w:vMerge w:val="continue"/>
            <w:vAlign w:val="center"/>
          </w:tcPr>
          <w:p>
            <w:pPr>
              <w:adjustRightInd w:val="0"/>
              <w:snapToGrid w:val="0"/>
              <w:spacing w:line="240" w:lineRule="auto"/>
              <w:ind w:firstLine="0" w:firstLineChars="0"/>
              <w:jc w:val="center"/>
              <w:rPr>
                <w:rFonts w:eastAsia="宋体" w:cs="Times New Roman"/>
                <w:sz w:val="21"/>
                <w:szCs w:val="21"/>
              </w:rPr>
            </w:pPr>
          </w:p>
        </w:tc>
        <w:tc>
          <w:tcPr>
            <w:tcW w:w="541" w:type="pct"/>
            <w:vMerge w:val="continue"/>
            <w:vAlign w:val="center"/>
          </w:tcPr>
          <w:p>
            <w:pPr>
              <w:widowControl/>
              <w:adjustRightInd w:val="0"/>
              <w:snapToGrid w:val="0"/>
              <w:spacing w:line="240" w:lineRule="auto"/>
              <w:ind w:firstLine="0" w:firstLineChars="0"/>
              <w:jc w:val="center"/>
              <w:rPr>
                <w:rFonts w:eastAsia="宋体" w:cs="Times New Roman"/>
                <w:sz w:val="21"/>
                <w:szCs w:val="21"/>
              </w:rPr>
            </w:pPr>
          </w:p>
        </w:tc>
        <w:tc>
          <w:tcPr>
            <w:tcW w:w="981" w:type="pct"/>
            <w:vAlign w:val="center"/>
          </w:tcPr>
          <w:p>
            <w:pPr>
              <w:widowControl/>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氮氧化物</w:t>
            </w:r>
          </w:p>
        </w:tc>
        <w:tc>
          <w:tcPr>
            <w:tcW w:w="464" w:type="pct"/>
            <w:vAlign w:val="center"/>
          </w:tcPr>
          <w:p>
            <w:pPr>
              <w:adjustRightInd w:val="0"/>
              <w:snapToGrid w:val="0"/>
              <w:spacing w:line="240" w:lineRule="auto"/>
              <w:ind w:firstLine="0" w:firstLineChars="0"/>
              <w:jc w:val="center"/>
              <w:rPr>
                <w:rFonts w:eastAsia="宋体" w:cs="Times New Roman"/>
                <w:color w:val="000000"/>
                <w:sz w:val="21"/>
                <w:szCs w:val="21"/>
              </w:rPr>
            </w:pPr>
            <w:r>
              <w:rPr>
                <w:rFonts w:hint="eastAsia" w:eastAsia="宋体" w:cs="Times New Roman"/>
                <w:color w:val="000000"/>
                <w:sz w:val="21"/>
                <w:szCs w:val="21"/>
              </w:rPr>
              <w:t>手工</w:t>
            </w:r>
          </w:p>
        </w:tc>
        <w:tc>
          <w:tcPr>
            <w:tcW w:w="743" w:type="pct"/>
            <w:vAlign w:val="center"/>
          </w:tcPr>
          <w:p>
            <w:pPr>
              <w:spacing w:line="240" w:lineRule="auto"/>
              <w:ind w:firstLine="0" w:firstLineChars="0"/>
              <w:jc w:val="center"/>
              <w:rPr>
                <w:sz w:val="21"/>
              </w:rPr>
            </w:pPr>
            <w:r>
              <w:rPr>
                <w:rFonts w:hint="eastAsia"/>
                <w:sz w:val="21"/>
              </w:rPr>
              <w:t>266.58</w:t>
            </w:r>
          </w:p>
        </w:tc>
        <w:tc>
          <w:tcPr>
            <w:tcW w:w="744" w:type="pct"/>
            <w:vAlign w:val="center"/>
          </w:tcPr>
          <w:p>
            <w:pPr>
              <w:spacing w:line="240" w:lineRule="auto"/>
              <w:ind w:firstLine="0" w:firstLineChars="0"/>
              <w:jc w:val="center"/>
              <w:rPr>
                <w:sz w:val="21"/>
              </w:rPr>
            </w:pPr>
            <w:r>
              <w:rPr>
                <w:rFonts w:hint="eastAsia"/>
                <w:sz w:val="21"/>
              </w:rPr>
              <w:t>400</w:t>
            </w:r>
          </w:p>
        </w:tc>
        <w:tc>
          <w:tcPr>
            <w:tcW w:w="403" w:type="pct"/>
            <w:vAlign w:val="center"/>
          </w:tcPr>
          <w:p>
            <w:pPr>
              <w:widowControl/>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达标</w:t>
            </w:r>
          </w:p>
        </w:tc>
        <w:tc>
          <w:tcPr>
            <w:tcW w:w="633" w:type="pct"/>
            <w:vAlign w:val="center"/>
          </w:tcPr>
          <w:p>
            <w:pPr>
              <w:widowControl/>
              <w:adjustRightInd w:val="0"/>
              <w:snapToGrid w:val="0"/>
              <w:spacing w:line="240" w:lineRule="auto"/>
              <w:ind w:firstLine="0" w:firstLineChars="0"/>
              <w:jc w:val="center"/>
              <w:rPr>
                <w:rFonts w:eastAsia="宋体" w:cs="Times New Roman"/>
                <w:kern w:val="0"/>
                <w:sz w:val="21"/>
                <w:szCs w:val="21"/>
              </w:rPr>
            </w:pPr>
            <w:r>
              <w:rPr>
                <w:rFonts w:hint="eastAsia" w:eastAsia="宋体" w:cs="Times New Roman"/>
                <w:kern w:val="0"/>
                <w:sz w:val="21"/>
                <w:szCs w:val="21"/>
              </w:rPr>
              <w:t>25.631258</w:t>
            </w:r>
          </w:p>
        </w:tc>
      </w:tr>
    </w:tbl>
    <w:p>
      <w:pPr>
        <w:adjustRightInd w:val="0"/>
        <w:snapToGrid w:val="0"/>
        <w:spacing w:line="240" w:lineRule="auto"/>
        <w:ind w:firstLine="0" w:firstLineChars="0"/>
        <w:rPr>
          <w:rFonts w:cs="Times New Roman"/>
          <w:sz w:val="21"/>
          <w:szCs w:val="21"/>
        </w:rPr>
      </w:pPr>
      <w:r>
        <w:rPr>
          <w:rFonts w:cs="Times New Roman"/>
          <w:sz w:val="21"/>
          <w:szCs w:val="21"/>
        </w:rPr>
        <w:t>注：1.手工监测，每月1次</w:t>
      </w:r>
      <w:r>
        <w:rPr>
          <w:rFonts w:hint="eastAsia" w:cs="Times New Roman"/>
          <w:sz w:val="21"/>
          <w:szCs w:val="21"/>
        </w:rPr>
        <w:t>，共监测6次。</w:t>
      </w:r>
    </w:p>
    <w:p>
      <w:pPr>
        <w:ind w:firstLine="480"/>
        <w:rPr>
          <w:rFonts w:cs="Times New Roman"/>
        </w:rPr>
      </w:pPr>
      <w:r>
        <w:rPr>
          <w:rFonts w:hint="eastAsia" w:cs="Times New Roman"/>
        </w:rPr>
        <w:t>曙光金铜矿</w:t>
      </w:r>
      <w:r>
        <w:rPr>
          <w:rFonts w:cs="Times New Roman"/>
        </w:rPr>
        <w:t>无组织废气排放情况见表5.2-2。</w:t>
      </w:r>
    </w:p>
    <w:p>
      <w:pPr>
        <w:ind w:firstLine="0" w:firstLineChars="0"/>
        <w:jc w:val="center"/>
        <w:rPr>
          <w:rFonts w:eastAsia="黑体" w:cs="Times New Roman"/>
        </w:rPr>
      </w:pPr>
      <w:r>
        <w:rPr>
          <w:rFonts w:eastAsia="黑体" w:cs="Times New Roman"/>
        </w:rPr>
        <w:t xml:space="preserve">表5.2-2 </w:t>
      </w:r>
      <w:r>
        <w:rPr>
          <w:rFonts w:hint="eastAsia" w:eastAsia="黑体" w:cs="Times New Roman"/>
        </w:rPr>
        <w:t xml:space="preserve"> 曙光金铜矿</w:t>
      </w:r>
      <w:r>
        <w:rPr>
          <w:rFonts w:eastAsia="黑体" w:cs="Times New Roman"/>
        </w:rPr>
        <w:t>无组织废气排放情况</w:t>
      </w:r>
    </w:p>
    <w:tbl>
      <w:tblPr>
        <w:tblStyle w:val="43"/>
        <w:tblW w:w="90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80"/>
        <w:gridCol w:w="1959"/>
        <w:gridCol w:w="1417"/>
        <w:gridCol w:w="1559"/>
        <w:gridCol w:w="1505"/>
        <w:gridCol w:w="15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80" w:type="dxa"/>
            <w:vMerge w:val="restart"/>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监测区</w:t>
            </w:r>
          </w:p>
        </w:tc>
        <w:tc>
          <w:tcPr>
            <w:tcW w:w="1959" w:type="dxa"/>
            <w:vMerge w:val="restart"/>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监测点位</w:t>
            </w:r>
          </w:p>
        </w:tc>
        <w:tc>
          <w:tcPr>
            <w:tcW w:w="6041" w:type="dxa"/>
            <w:gridSpan w:val="4"/>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颗粒物（mg/m3)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80" w:type="dxa"/>
            <w:vMerge w:val="continue"/>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p>
        </w:tc>
        <w:tc>
          <w:tcPr>
            <w:tcW w:w="1959" w:type="dxa"/>
            <w:vMerge w:val="continue"/>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p>
        </w:tc>
        <w:tc>
          <w:tcPr>
            <w:tcW w:w="1417"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hint="eastAsia" w:eastAsia="宋体" w:cs="Times New Roman"/>
                <w:color w:val="000000"/>
                <w:kern w:val="0"/>
                <w:sz w:val="21"/>
                <w:szCs w:val="21"/>
              </w:rPr>
              <w:t>第一季度</w:t>
            </w:r>
          </w:p>
        </w:tc>
        <w:tc>
          <w:tcPr>
            <w:tcW w:w="1559" w:type="dxa"/>
            <w:shd w:val="clear" w:color="auto" w:fill="auto"/>
            <w:noWrap/>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hint="eastAsia" w:eastAsia="宋体" w:cs="Times New Roman"/>
                <w:color w:val="000000"/>
                <w:kern w:val="0"/>
                <w:sz w:val="21"/>
                <w:szCs w:val="21"/>
              </w:rPr>
              <w:t>第二季度</w:t>
            </w:r>
          </w:p>
        </w:tc>
        <w:tc>
          <w:tcPr>
            <w:tcW w:w="1505" w:type="dxa"/>
            <w:shd w:val="clear" w:color="auto" w:fill="auto"/>
            <w:noWrap/>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hint="eastAsia" w:eastAsia="宋体" w:cs="Times New Roman"/>
                <w:color w:val="000000"/>
                <w:kern w:val="0"/>
                <w:sz w:val="21"/>
                <w:szCs w:val="21"/>
              </w:rPr>
              <w:t>第三季度</w:t>
            </w:r>
          </w:p>
        </w:tc>
        <w:tc>
          <w:tcPr>
            <w:tcW w:w="1560" w:type="dxa"/>
            <w:shd w:val="clear" w:color="auto" w:fill="auto"/>
            <w:noWrap/>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hint="eastAsia" w:eastAsia="宋体" w:cs="Times New Roman"/>
                <w:color w:val="000000"/>
                <w:kern w:val="0"/>
                <w:sz w:val="21"/>
                <w:szCs w:val="21"/>
              </w:rPr>
              <w:t>第四季度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80" w:type="dxa"/>
            <w:vMerge w:val="restart"/>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采矿场</w:t>
            </w:r>
          </w:p>
        </w:tc>
        <w:tc>
          <w:tcPr>
            <w:tcW w:w="1959"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1#上风向参照点</w:t>
            </w:r>
          </w:p>
        </w:tc>
        <w:tc>
          <w:tcPr>
            <w:tcW w:w="1417"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w:t>
            </w:r>
            <w:r>
              <w:rPr>
                <w:rFonts w:hint="eastAsia" w:eastAsia="宋体" w:cs="Times New Roman"/>
                <w:color w:val="000000"/>
                <w:kern w:val="0"/>
                <w:sz w:val="21"/>
                <w:szCs w:val="21"/>
              </w:rPr>
              <w:t>067</w:t>
            </w:r>
            <w:r>
              <w:rPr>
                <w:rFonts w:eastAsia="宋体" w:cs="Times New Roman"/>
                <w:color w:val="000000"/>
                <w:kern w:val="0"/>
                <w:sz w:val="21"/>
                <w:szCs w:val="21"/>
              </w:rPr>
              <w:t>~0.</w:t>
            </w:r>
            <w:r>
              <w:rPr>
                <w:rFonts w:hint="eastAsia" w:eastAsia="宋体" w:cs="Times New Roman"/>
                <w:color w:val="000000"/>
                <w:kern w:val="0"/>
                <w:sz w:val="21"/>
                <w:szCs w:val="21"/>
              </w:rPr>
              <w:t>099</w:t>
            </w:r>
          </w:p>
        </w:tc>
        <w:tc>
          <w:tcPr>
            <w:tcW w:w="1559"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w:t>
            </w:r>
            <w:r>
              <w:rPr>
                <w:rFonts w:hint="eastAsia" w:eastAsia="宋体" w:cs="Times New Roman"/>
                <w:color w:val="000000"/>
                <w:kern w:val="0"/>
                <w:sz w:val="21"/>
                <w:szCs w:val="21"/>
              </w:rPr>
              <w:t>096</w:t>
            </w:r>
            <w:r>
              <w:rPr>
                <w:rFonts w:eastAsia="宋体" w:cs="Times New Roman"/>
                <w:color w:val="000000"/>
                <w:kern w:val="0"/>
                <w:sz w:val="21"/>
                <w:szCs w:val="21"/>
              </w:rPr>
              <w:t>~0.</w:t>
            </w:r>
            <w:r>
              <w:rPr>
                <w:rFonts w:hint="eastAsia" w:eastAsia="宋体" w:cs="Times New Roman"/>
                <w:color w:val="000000"/>
                <w:kern w:val="0"/>
                <w:sz w:val="21"/>
                <w:szCs w:val="21"/>
              </w:rPr>
              <w:t>116</w:t>
            </w:r>
          </w:p>
        </w:tc>
        <w:tc>
          <w:tcPr>
            <w:tcW w:w="1505"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0.0</w:t>
            </w:r>
            <w:r>
              <w:rPr>
                <w:rFonts w:hint="eastAsia" w:eastAsia="宋体" w:cs="Times New Roman"/>
                <w:color w:val="000000"/>
                <w:kern w:val="0"/>
                <w:sz w:val="21"/>
                <w:szCs w:val="21"/>
              </w:rPr>
              <w:t>97</w:t>
            </w:r>
            <w:r>
              <w:rPr>
                <w:rFonts w:eastAsia="宋体" w:cs="Times New Roman"/>
                <w:color w:val="000000"/>
                <w:kern w:val="0"/>
                <w:sz w:val="21"/>
                <w:szCs w:val="21"/>
              </w:rPr>
              <w:t>~0.1</w:t>
            </w:r>
            <w:r>
              <w:rPr>
                <w:rFonts w:hint="eastAsia" w:eastAsia="宋体" w:cs="Times New Roman"/>
                <w:color w:val="000000"/>
                <w:kern w:val="0"/>
                <w:sz w:val="21"/>
                <w:szCs w:val="21"/>
              </w:rPr>
              <w:t>18</w:t>
            </w:r>
          </w:p>
        </w:tc>
        <w:tc>
          <w:tcPr>
            <w:tcW w:w="1560"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0.1</w:t>
            </w:r>
            <w:r>
              <w:rPr>
                <w:rFonts w:hint="eastAsia" w:eastAsia="宋体" w:cs="Times New Roman"/>
                <w:color w:val="000000"/>
                <w:kern w:val="0"/>
                <w:sz w:val="21"/>
                <w:szCs w:val="21"/>
              </w:rPr>
              <w:t>09</w:t>
            </w:r>
            <w:r>
              <w:rPr>
                <w:rFonts w:eastAsia="宋体" w:cs="Times New Roman"/>
                <w:color w:val="000000"/>
                <w:kern w:val="0"/>
                <w:sz w:val="21"/>
                <w:szCs w:val="21"/>
              </w:rPr>
              <w:t>~0.12</w:t>
            </w:r>
            <w:r>
              <w:rPr>
                <w:rFonts w:hint="eastAsia" w:eastAsia="宋体" w:cs="Times New Roman"/>
                <w:color w:val="000000"/>
                <w:kern w:val="0"/>
                <w:sz w:val="21"/>
                <w:szCs w:val="21"/>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80" w:type="dxa"/>
            <w:vMerge w:val="continue"/>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p>
        </w:tc>
        <w:tc>
          <w:tcPr>
            <w:tcW w:w="1959"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2#下风向监控点</w:t>
            </w:r>
          </w:p>
        </w:tc>
        <w:tc>
          <w:tcPr>
            <w:tcW w:w="1417"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w:t>
            </w:r>
            <w:r>
              <w:rPr>
                <w:rFonts w:hint="eastAsia" w:eastAsia="宋体" w:cs="Times New Roman"/>
                <w:color w:val="000000"/>
                <w:kern w:val="0"/>
                <w:sz w:val="21"/>
                <w:szCs w:val="21"/>
              </w:rPr>
              <w:t>401</w:t>
            </w:r>
            <w:r>
              <w:rPr>
                <w:rFonts w:eastAsia="宋体" w:cs="Times New Roman"/>
                <w:color w:val="000000"/>
                <w:kern w:val="0"/>
                <w:sz w:val="21"/>
                <w:szCs w:val="21"/>
              </w:rPr>
              <w:t>~0.</w:t>
            </w:r>
            <w:r>
              <w:rPr>
                <w:rFonts w:hint="eastAsia" w:eastAsia="宋体" w:cs="Times New Roman"/>
                <w:color w:val="000000"/>
                <w:kern w:val="0"/>
                <w:sz w:val="21"/>
                <w:szCs w:val="21"/>
              </w:rPr>
              <w:t>480</w:t>
            </w:r>
          </w:p>
        </w:tc>
        <w:tc>
          <w:tcPr>
            <w:tcW w:w="1559"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w:t>
            </w:r>
            <w:r>
              <w:rPr>
                <w:rFonts w:hint="eastAsia" w:eastAsia="宋体" w:cs="Times New Roman"/>
                <w:color w:val="000000"/>
                <w:kern w:val="0"/>
                <w:sz w:val="21"/>
                <w:szCs w:val="21"/>
              </w:rPr>
              <w:t>442</w:t>
            </w:r>
            <w:r>
              <w:rPr>
                <w:rFonts w:eastAsia="宋体" w:cs="Times New Roman"/>
                <w:color w:val="000000"/>
                <w:kern w:val="0"/>
                <w:sz w:val="21"/>
                <w:szCs w:val="21"/>
              </w:rPr>
              <w:t>~0.</w:t>
            </w:r>
            <w:r>
              <w:rPr>
                <w:rFonts w:hint="eastAsia" w:eastAsia="宋体" w:cs="Times New Roman"/>
                <w:color w:val="000000"/>
                <w:kern w:val="0"/>
                <w:sz w:val="21"/>
                <w:szCs w:val="21"/>
              </w:rPr>
              <w:t>478</w:t>
            </w:r>
          </w:p>
        </w:tc>
        <w:tc>
          <w:tcPr>
            <w:tcW w:w="1505"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w:t>
            </w:r>
            <w:r>
              <w:rPr>
                <w:rFonts w:hint="eastAsia" w:eastAsia="宋体" w:cs="Times New Roman"/>
                <w:color w:val="000000"/>
                <w:kern w:val="0"/>
                <w:sz w:val="21"/>
                <w:szCs w:val="21"/>
              </w:rPr>
              <w:t>371</w:t>
            </w:r>
            <w:r>
              <w:rPr>
                <w:rFonts w:eastAsia="宋体" w:cs="Times New Roman"/>
                <w:color w:val="000000"/>
                <w:kern w:val="0"/>
                <w:sz w:val="21"/>
                <w:szCs w:val="21"/>
              </w:rPr>
              <w:t>~0.</w:t>
            </w:r>
            <w:r>
              <w:rPr>
                <w:rFonts w:hint="eastAsia" w:eastAsia="宋体" w:cs="Times New Roman"/>
                <w:color w:val="000000"/>
                <w:kern w:val="0"/>
                <w:sz w:val="21"/>
                <w:szCs w:val="21"/>
              </w:rPr>
              <w:t>392</w:t>
            </w:r>
          </w:p>
        </w:tc>
        <w:tc>
          <w:tcPr>
            <w:tcW w:w="1560"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w:t>
            </w:r>
            <w:r>
              <w:rPr>
                <w:rFonts w:hint="eastAsia" w:eastAsia="宋体" w:cs="Times New Roman"/>
                <w:color w:val="000000"/>
                <w:kern w:val="0"/>
                <w:sz w:val="21"/>
                <w:szCs w:val="21"/>
              </w:rPr>
              <w:t>345</w:t>
            </w:r>
            <w:r>
              <w:rPr>
                <w:rFonts w:eastAsia="宋体" w:cs="Times New Roman"/>
                <w:color w:val="000000"/>
                <w:kern w:val="0"/>
                <w:sz w:val="21"/>
                <w:szCs w:val="21"/>
              </w:rPr>
              <w:t>~0.</w:t>
            </w:r>
            <w:r>
              <w:rPr>
                <w:rFonts w:hint="eastAsia" w:eastAsia="宋体" w:cs="Times New Roman"/>
                <w:color w:val="000000"/>
                <w:kern w:val="0"/>
                <w:sz w:val="21"/>
                <w:szCs w:val="21"/>
              </w:rPr>
              <w:t>360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80" w:type="dxa"/>
            <w:vMerge w:val="continue"/>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p>
        </w:tc>
        <w:tc>
          <w:tcPr>
            <w:tcW w:w="1959"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3#下风向监控点</w:t>
            </w:r>
          </w:p>
        </w:tc>
        <w:tc>
          <w:tcPr>
            <w:tcW w:w="1417"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w:t>
            </w:r>
            <w:r>
              <w:rPr>
                <w:rFonts w:hint="eastAsia" w:eastAsia="宋体" w:cs="Times New Roman"/>
                <w:color w:val="000000"/>
                <w:kern w:val="0"/>
                <w:sz w:val="21"/>
                <w:szCs w:val="21"/>
              </w:rPr>
              <w:t>471</w:t>
            </w:r>
            <w:r>
              <w:rPr>
                <w:rFonts w:eastAsia="宋体" w:cs="Times New Roman"/>
                <w:color w:val="000000"/>
                <w:kern w:val="0"/>
                <w:sz w:val="21"/>
                <w:szCs w:val="21"/>
              </w:rPr>
              <w:t>~0.</w:t>
            </w:r>
            <w:r>
              <w:rPr>
                <w:rFonts w:hint="eastAsia" w:eastAsia="宋体" w:cs="Times New Roman"/>
                <w:color w:val="000000"/>
                <w:kern w:val="0"/>
                <w:sz w:val="21"/>
                <w:szCs w:val="21"/>
              </w:rPr>
              <w:t>563</w:t>
            </w:r>
          </w:p>
        </w:tc>
        <w:tc>
          <w:tcPr>
            <w:tcW w:w="1559"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w:t>
            </w:r>
            <w:r>
              <w:rPr>
                <w:rFonts w:hint="eastAsia" w:eastAsia="宋体" w:cs="Times New Roman"/>
                <w:color w:val="000000"/>
                <w:kern w:val="0"/>
                <w:sz w:val="21"/>
                <w:szCs w:val="21"/>
              </w:rPr>
              <w:t>426</w:t>
            </w:r>
            <w:r>
              <w:rPr>
                <w:rFonts w:eastAsia="宋体" w:cs="Times New Roman"/>
                <w:color w:val="000000"/>
                <w:kern w:val="0"/>
                <w:sz w:val="21"/>
                <w:szCs w:val="21"/>
              </w:rPr>
              <w:t>~0.</w:t>
            </w:r>
            <w:r>
              <w:rPr>
                <w:rFonts w:hint="eastAsia" w:eastAsia="宋体" w:cs="Times New Roman"/>
                <w:color w:val="000000"/>
                <w:kern w:val="0"/>
                <w:sz w:val="21"/>
                <w:szCs w:val="21"/>
              </w:rPr>
              <w:t>461</w:t>
            </w:r>
          </w:p>
        </w:tc>
        <w:tc>
          <w:tcPr>
            <w:tcW w:w="1505"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w:t>
            </w:r>
            <w:r>
              <w:rPr>
                <w:rFonts w:hint="eastAsia" w:eastAsia="宋体" w:cs="Times New Roman"/>
                <w:color w:val="000000"/>
                <w:kern w:val="0"/>
                <w:sz w:val="21"/>
                <w:szCs w:val="21"/>
              </w:rPr>
              <w:t>369</w:t>
            </w:r>
            <w:r>
              <w:rPr>
                <w:rFonts w:eastAsia="宋体" w:cs="Times New Roman"/>
                <w:color w:val="000000"/>
                <w:kern w:val="0"/>
                <w:sz w:val="21"/>
                <w:szCs w:val="21"/>
              </w:rPr>
              <w:t>~0.</w:t>
            </w:r>
            <w:r>
              <w:rPr>
                <w:rFonts w:hint="eastAsia" w:eastAsia="宋体" w:cs="Times New Roman"/>
                <w:color w:val="000000"/>
                <w:kern w:val="0"/>
                <w:sz w:val="21"/>
                <w:szCs w:val="21"/>
              </w:rPr>
              <w:t>410</w:t>
            </w:r>
          </w:p>
        </w:tc>
        <w:tc>
          <w:tcPr>
            <w:tcW w:w="1560"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w:t>
            </w:r>
            <w:r>
              <w:rPr>
                <w:rFonts w:hint="eastAsia" w:eastAsia="宋体" w:cs="Times New Roman"/>
                <w:color w:val="000000"/>
                <w:kern w:val="0"/>
                <w:sz w:val="21"/>
                <w:szCs w:val="21"/>
              </w:rPr>
              <w:t>342</w:t>
            </w:r>
            <w:r>
              <w:rPr>
                <w:rFonts w:eastAsia="宋体" w:cs="Times New Roman"/>
                <w:color w:val="000000"/>
                <w:kern w:val="0"/>
                <w:sz w:val="21"/>
                <w:szCs w:val="21"/>
              </w:rPr>
              <w:t>~0.</w:t>
            </w:r>
            <w:r>
              <w:rPr>
                <w:rFonts w:hint="eastAsia" w:eastAsia="宋体" w:cs="Times New Roman"/>
                <w:color w:val="000000"/>
                <w:kern w:val="0"/>
                <w:sz w:val="21"/>
                <w:szCs w:val="21"/>
              </w:rPr>
              <w:t>399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80" w:type="dxa"/>
            <w:vMerge w:val="continue"/>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p>
        </w:tc>
        <w:tc>
          <w:tcPr>
            <w:tcW w:w="1959"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4#下风向监控点</w:t>
            </w:r>
          </w:p>
        </w:tc>
        <w:tc>
          <w:tcPr>
            <w:tcW w:w="1417"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w:t>
            </w:r>
            <w:r>
              <w:rPr>
                <w:rFonts w:hint="eastAsia" w:eastAsia="宋体" w:cs="Times New Roman"/>
                <w:color w:val="000000"/>
                <w:kern w:val="0"/>
                <w:sz w:val="21"/>
                <w:szCs w:val="21"/>
              </w:rPr>
              <w:t>437</w:t>
            </w:r>
            <w:r>
              <w:rPr>
                <w:rFonts w:eastAsia="宋体" w:cs="Times New Roman"/>
                <w:color w:val="000000"/>
                <w:kern w:val="0"/>
                <w:sz w:val="21"/>
                <w:szCs w:val="21"/>
              </w:rPr>
              <w:t>~0.</w:t>
            </w:r>
            <w:r>
              <w:rPr>
                <w:rFonts w:hint="eastAsia" w:eastAsia="宋体" w:cs="Times New Roman"/>
                <w:color w:val="000000"/>
                <w:kern w:val="0"/>
                <w:sz w:val="21"/>
                <w:szCs w:val="21"/>
              </w:rPr>
              <w:t>497</w:t>
            </w:r>
          </w:p>
        </w:tc>
        <w:tc>
          <w:tcPr>
            <w:tcW w:w="1559"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w:t>
            </w:r>
            <w:r>
              <w:rPr>
                <w:rFonts w:hint="eastAsia" w:eastAsia="宋体" w:cs="Times New Roman"/>
                <w:color w:val="000000"/>
                <w:kern w:val="0"/>
                <w:sz w:val="21"/>
                <w:szCs w:val="21"/>
              </w:rPr>
              <w:t>426</w:t>
            </w:r>
            <w:r>
              <w:rPr>
                <w:rFonts w:eastAsia="宋体" w:cs="Times New Roman"/>
                <w:color w:val="000000"/>
                <w:kern w:val="0"/>
                <w:sz w:val="21"/>
                <w:szCs w:val="21"/>
              </w:rPr>
              <w:t>~0.</w:t>
            </w:r>
            <w:r>
              <w:rPr>
                <w:rFonts w:hint="eastAsia" w:eastAsia="宋体" w:cs="Times New Roman"/>
                <w:color w:val="000000"/>
                <w:kern w:val="0"/>
                <w:sz w:val="21"/>
                <w:szCs w:val="21"/>
              </w:rPr>
              <w:t>442</w:t>
            </w:r>
          </w:p>
        </w:tc>
        <w:tc>
          <w:tcPr>
            <w:tcW w:w="1505"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w:t>
            </w:r>
            <w:r>
              <w:rPr>
                <w:rFonts w:hint="eastAsia" w:eastAsia="宋体" w:cs="Times New Roman"/>
                <w:color w:val="000000"/>
                <w:kern w:val="0"/>
                <w:sz w:val="21"/>
                <w:szCs w:val="21"/>
              </w:rPr>
              <w:t>369</w:t>
            </w:r>
            <w:r>
              <w:rPr>
                <w:rFonts w:eastAsia="宋体" w:cs="Times New Roman"/>
                <w:color w:val="000000"/>
                <w:kern w:val="0"/>
                <w:sz w:val="21"/>
                <w:szCs w:val="21"/>
              </w:rPr>
              <w:t>~0.</w:t>
            </w:r>
            <w:r>
              <w:rPr>
                <w:rFonts w:hint="eastAsia" w:eastAsia="宋体" w:cs="Times New Roman"/>
                <w:color w:val="000000"/>
                <w:kern w:val="0"/>
                <w:sz w:val="21"/>
                <w:szCs w:val="21"/>
              </w:rPr>
              <w:t>430</w:t>
            </w:r>
          </w:p>
        </w:tc>
        <w:tc>
          <w:tcPr>
            <w:tcW w:w="1560"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w:t>
            </w:r>
            <w:r>
              <w:rPr>
                <w:rFonts w:hint="eastAsia" w:eastAsia="宋体" w:cs="Times New Roman"/>
                <w:color w:val="000000"/>
                <w:kern w:val="0"/>
                <w:sz w:val="21"/>
                <w:szCs w:val="21"/>
              </w:rPr>
              <w:t>347</w:t>
            </w:r>
            <w:r>
              <w:rPr>
                <w:rFonts w:eastAsia="宋体" w:cs="Times New Roman"/>
                <w:color w:val="000000"/>
                <w:kern w:val="0"/>
                <w:sz w:val="21"/>
                <w:szCs w:val="21"/>
              </w:rPr>
              <w:t>~0.</w:t>
            </w:r>
            <w:r>
              <w:rPr>
                <w:rFonts w:hint="eastAsia" w:eastAsia="宋体" w:cs="Times New Roman"/>
                <w:color w:val="000000"/>
                <w:kern w:val="0"/>
                <w:sz w:val="21"/>
                <w:szCs w:val="21"/>
              </w:rPr>
              <w:t>363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80" w:type="dxa"/>
            <w:vMerge w:val="restart"/>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排土场</w:t>
            </w:r>
          </w:p>
        </w:tc>
        <w:tc>
          <w:tcPr>
            <w:tcW w:w="1959"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5#上风向参照点</w:t>
            </w:r>
          </w:p>
        </w:tc>
        <w:tc>
          <w:tcPr>
            <w:tcW w:w="1417"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0.08</w:t>
            </w:r>
            <w:r>
              <w:rPr>
                <w:rFonts w:hint="eastAsia" w:eastAsia="宋体" w:cs="Times New Roman"/>
                <w:color w:val="000000"/>
                <w:kern w:val="0"/>
                <w:sz w:val="21"/>
                <w:szCs w:val="21"/>
              </w:rPr>
              <w:t>5</w:t>
            </w:r>
            <w:r>
              <w:rPr>
                <w:rFonts w:eastAsia="宋体" w:cs="Times New Roman"/>
                <w:color w:val="000000"/>
                <w:kern w:val="0"/>
                <w:sz w:val="21"/>
                <w:szCs w:val="21"/>
              </w:rPr>
              <w:t>~0.</w:t>
            </w:r>
            <w:r>
              <w:rPr>
                <w:rFonts w:hint="eastAsia" w:eastAsia="宋体" w:cs="Times New Roman"/>
                <w:color w:val="000000"/>
                <w:kern w:val="0"/>
                <w:sz w:val="21"/>
                <w:szCs w:val="21"/>
              </w:rPr>
              <w:t>088</w:t>
            </w:r>
          </w:p>
        </w:tc>
        <w:tc>
          <w:tcPr>
            <w:tcW w:w="1559"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w:t>
            </w:r>
            <w:r>
              <w:rPr>
                <w:rFonts w:hint="eastAsia" w:eastAsia="宋体" w:cs="Times New Roman"/>
                <w:color w:val="000000"/>
                <w:kern w:val="0"/>
                <w:sz w:val="21"/>
                <w:szCs w:val="21"/>
              </w:rPr>
              <w:t>076</w:t>
            </w:r>
            <w:r>
              <w:rPr>
                <w:rFonts w:eastAsia="宋体" w:cs="Times New Roman"/>
                <w:color w:val="000000"/>
                <w:kern w:val="0"/>
                <w:sz w:val="21"/>
                <w:szCs w:val="21"/>
              </w:rPr>
              <w:t>~0.</w:t>
            </w:r>
            <w:r>
              <w:rPr>
                <w:rFonts w:hint="eastAsia" w:eastAsia="宋体" w:cs="Times New Roman"/>
                <w:color w:val="000000"/>
                <w:kern w:val="0"/>
                <w:sz w:val="21"/>
                <w:szCs w:val="21"/>
              </w:rPr>
              <w:t>097</w:t>
            </w:r>
          </w:p>
        </w:tc>
        <w:tc>
          <w:tcPr>
            <w:tcW w:w="1505"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0.0</w:t>
            </w:r>
            <w:r>
              <w:rPr>
                <w:rFonts w:hint="eastAsia" w:eastAsia="宋体" w:cs="Times New Roman"/>
                <w:color w:val="000000"/>
                <w:kern w:val="0"/>
                <w:sz w:val="21"/>
                <w:szCs w:val="21"/>
              </w:rPr>
              <w:t>98</w:t>
            </w:r>
            <w:r>
              <w:rPr>
                <w:rFonts w:eastAsia="宋体" w:cs="Times New Roman"/>
                <w:color w:val="000000"/>
                <w:kern w:val="0"/>
                <w:sz w:val="21"/>
                <w:szCs w:val="21"/>
              </w:rPr>
              <w:t>~0.1</w:t>
            </w:r>
            <w:r>
              <w:rPr>
                <w:rFonts w:hint="eastAsia" w:eastAsia="宋体" w:cs="Times New Roman"/>
                <w:color w:val="000000"/>
                <w:kern w:val="0"/>
                <w:sz w:val="21"/>
                <w:szCs w:val="21"/>
              </w:rPr>
              <w:t>19</w:t>
            </w:r>
          </w:p>
        </w:tc>
        <w:tc>
          <w:tcPr>
            <w:tcW w:w="1560"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w:t>
            </w:r>
            <w:r>
              <w:rPr>
                <w:rFonts w:hint="eastAsia" w:eastAsia="宋体" w:cs="Times New Roman"/>
                <w:color w:val="000000"/>
                <w:kern w:val="0"/>
                <w:sz w:val="21"/>
                <w:szCs w:val="21"/>
              </w:rPr>
              <w:t>110</w:t>
            </w:r>
            <w:r>
              <w:rPr>
                <w:rFonts w:eastAsia="宋体" w:cs="Times New Roman"/>
                <w:color w:val="000000"/>
                <w:kern w:val="0"/>
                <w:sz w:val="21"/>
                <w:szCs w:val="21"/>
              </w:rPr>
              <w:t>~0.1</w:t>
            </w:r>
            <w:r>
              <w:rPr>
                <w:rFonts w:hint="eastAsia" w:eastAsia="宋体" w:cs="Times New Roman"/>
                <w:color w:val="000000"/>
                <w:kern w:val="0"/>
                <w:sz w:val="21"/>
                <w:szCs w:val="21"/>
              </w:rPr>
              <w:t>46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80" w:type="dxa"/>
            <w:vMerge w:val="continue"/>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p>
        </w:tc>
        <w:tc>
          <w:tcPr>
            <w:tcW w:w="1959"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6#下风向监控点</w:t>
            </w:r>
          </w:p>
        </w:tc>
        <w:tc>
          <w:tcPr>
            <w:tcW w:w="1417"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w:t>
            </w:r>
            <w:r>
              <w:rPr>
                <w:rFonts w:hint="eastAsia" w:eastAsia="宋体" w:cs="Times New Roman"/>
                <w:color w:val="000000"/>
                <w:kern w:val="0"/>
                <w:sz w:val="21"/>
                <w:szCs w:val="21"/>
              </w:rPr>
              <w:t>256</w:t>
            </w:r>
            <w:r>
              <w:rPr>
                <w:rFonts w:eastAsia="宋体" w:cs="Times New Roman"/>
                <w:color w:val="000000"/>
                <w:kern w:val="0"/>
                <w:sz w:val="21"/>
                <w:szCs w:val="21"/>
              </w:rPr>
              <w:t>~0.</w:t>
            </w:r>
            <w:r>
              <w:rPr>
                <w:rFonts w:hint="eastAsia" w:eastAsia="宋体" w:cs="Times New Roman"/>
                <w:color w:val="000000"/>
                <w:kern w:val="0"/>
                <w:sz w:val="21"/>
                <w:szCs w:val="21"/>
              </w:rPr>
              <w:t>316</w:t>
            </w:r>
          </w:p>
        </w:tc>
        <w:tc>
          <w:tcPr>
            <w:tcW w:w="1559"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0.2</w:t>
            </w:r>
            <w:r>
              <w:rPr>
                <w:rFonts w:hint="eastAsia" w:eastAsia="宋体" w:cs="Times New Roman"/>
                <w:color w:val="000000"/>
                <w:kern w:val="0"/>
                <w:sz w:val="21"/>
                <w:szCs w:val="21"/>
              </w:rPr>
              <w:t>67</w:t>
            </w:r>
            <w:r>
              <w:rPr>
                <w:rFonts w:eastAsia="宋体" w:cs="Times New Roman"/>
                <w:color w:val="000000"/>
                <w:kern w:val="0"/>
                <w:sz w:val="21"/>
                <w:szCs w:val="21"/>
              </w:rPr>
              <w:t>~0.2</w:t>
            </w:r>
            <w:r>
              <w:rPr>
                <w:rFonts w:hint="eastAsia" w:eastAsia="宋体" w:cs="Times New Roman"/>
                <w:color w:val="000000"/>
                <w:kern w:val="0"/>
                <w:sz w:val="21"/>
                <w:szCs w:val="21"/>
              </w:rPr>
              <w:t>71</w:t>
            </w:r>
          </w:p>
        </w:tc>
        <w:tc>
          <w:tcPr>
            <w:tcW w:w="1505"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w:t>
            </w:r>
            <w:r>
              <w:rPr>
                <w:rFonts w:hint="eastAsia" w:eastAsia="宋体" w:cs="Times New Roman"/>
                <w:color w:val="000000"/>
                <w:kern w:val="0"/>
                <w:sz w:val="21"/>
                <w:szCs w:val="21"/>
              </w:rPr>
              <w:t>429</w:t>
            </w:r>
            <w:r>
              <w:rPr>
                <w:rFonts w:eastAsia="宋体" w:cs="Times New Roman"/>
                <w:color w:val="000000"/>
                <w:kern w:val="0"/>
                <w:sz w:val="21"/>
                <w:szCs w:val="21"/>
              </w:rPr>
              <w:t>~0.</w:t>
            </w:r>
            <w:r>
              <w:rPr>
                <w:rFonts w:hint="eastAsia" w:eastAsia="宋体" w:cs="Times New Roman"/>
                <w:color w:val="000000"/>
                <w:kern w:val="0"/>
                <w:sz w:val="21"/>
                <w:szCs w:val="21"/>
              </w:rPr>
              <w:t>456</w:t>
            </w:r>
          </w:p>
        </w:tc>
        <w:tc>
          <w:tcPr>
            <w:tcW w:w="1560"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w:t>
            </w:r>
            <w:r>
              <w:rPr>
                <w:rFonts w:hint="eastAsia" w:eastAsia="宋体" w:cs="Times New Roman"/>
                <w:color w:val="000000"/>
                <w:kern w:val="0"/>
                <w:sz w:val="21"/>
                <w:szCs w:val="21"/>
              </w:rPr>
              <w:t>326</w:t>
            </w:r>
            <w:r>
              <w:rPr>
                <w:rFonts w:eastAsia="宋体" w:cs="Times New Roman"/>
                <w:color w:val="000000"/>
                <w:kern w:val="0"/>
                <w:sz w:val="21"/>
                <w:szCs w:val="21"/>
              </w:rPr>
              <w:t>~0.</w:t>
            </w:r>
            <w:r>
              <w:rPr>
                <w:rFonts w:hint="eastAsia" w:eastAsia="宋体" w:cs="Times New Roman"/>
                <w:color w:val="000000"/>
                <w:kern w:val="0"/>
                <w:sz w:val="21"/>
                <w:szCs w:val="21"/>
              </w:rPr>
              <w:t>383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80" w:type="dxa"/>
            <w:vMerge w:val="continue"/>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p>
        </w:tc>
        <w:tc>
          <w:tcPr>
            <w:tcW w:w="1959"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7#下风向监控点</w:t>
            </w:r>
          </w:p>
        </w:tc>
        <w:tc>
          <w:tcPr>
            <w:tcW w:w="1417"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0.2</w:t>
            </w:r>
            <w:r>
              <w:rPr>
                <w:rFonts w:hint="eastAsia" w:eastAsia="宋体" w:cs="Times New Roman"/>
                <w:color w:val="000000"/>
                <w:kern w:val="0"/>
                <w:sz w:val="21"/>
                <w:szCs w:val="21"/>
              </w:rPr>
              <w:t>60</w:t>
            </w:r>
            <w:r>
              <w:rPr>
                <w:rFonts w:eastAsia="宋体" w:cs="Times New Roman"/>
                <w:color w:val="000000"/>
                <w:kern w:val="0"/>
                <w:sz w:val="21"/>
                <w:szCs w:val="21"/>
              </w:rPr>
              <w:t>~0.2</w:t>
            </w:r>
            <w:r>
              <w:rPr>
                <w:rFonts w:hint="eastAsia" w:eastAsia="宋体" w:cs="Times New Roman"/>
                <w:color w:val="000000"/>
                <w:kern w:val="0"/>
                <w:sz w:val="21"/>
                <w:szCs w:val="21"/>
              </w:rPr>
              <w:t>98</w:t>
            </w:r>
          </w:p>
        </w:tc>
        <w:tc>
          <w:tcPr>
            <w:tcW w:w="1559"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0.2</w:t>
            </w:r>
            <w:r>
              <w:rPr>
                <w:rFonts w:hint="eastAsia" w:eastAsia="宋体" w:cs="Times New Roman"/>
                <w:color w:val="000000"/>
                <w:kern w:val="0"/>
                <w:sz w:val="21"/>
                <w:szCs w:val="21"/>
              </w:rPr>
              <w:t>48</w:t>
            </w:r>
            <w:r>
              <w:rPr>
                <w:rFonts w:eastAsia="宋体" w:cs="Times New Roman"/>
                <w:color w:val="000000"/>
                <w:kern w:val="0"/>
                <w:sz w:val="21"/>
                <w:szCs w:val="21"/>
              </w:rPr>
              <w:t>~0.</w:t>
            </w:r>
            <w:r>
              <w:rPr>
                <w:rFonts w:hint="eastAsia" w:eastAsia="宋体" w:cs="Times New Roman"/>
                <w:color w:val="000000"/>
                <w:kern w:val="0"/>
                <w:sz w:val="21"/>
                <w:szCs w:val="21"/>
              </w:rPr>
              <w:t>291</w:t>
            </w:r>
          </w:p>
        </w:tc>
        <w:tc>
          <w:tcPr>
            <w:tcW w:w="1505"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w:t>
            </w:r>
            <w:r>
              <w:rPr>
                <w:rFonts w:hint="eastAsia" w:eastAsia="宋体" w:cs="Times New Roman"/>
                <w:color w:val="000000"/>
                <w:kern w:val="0"/>
                <w:sz w:val="21"/>
                <w:szCs w:val="21"/>
              </w:rPr>
              <w:t>429</w:t>
            </w:r>
            <w:r>
              <w:rPr>
                <w:rFonts w:eastAsia="宋体" w:cs="Times New Roman"/>
                <w:color w:val="000000"/>
                <w:kern w:val="0"/>
                <w:sz w:val="21"/>
                <w:szCs w:val="21"/>
              </w:rPr>
              <w:t>~0.</w:t>
            </w:r>
            <w:r>
              <w:rPr>
                <w:rFonts w:hint="eastAsia" w:eastAsia="宋体" w:cs="Times New Roman"/>
                <w:color w:val="000000"/>
                <w:kern w:val="0"/>
                <w:sz w:val="21"/>
                <w:szCs w:val="21"/>
              </w:rPr>
              <w:t>435</w:t>
            </w:r>
          </w:p>
        </w:tc>
        <w:tc>
          <w:tcPr>
            <w:tcW w:w="1560"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w:t>
            </w:r>
            <w:r>
              <w:rPr>
                <w:rFonts w:hint="eastAsia" w:eastAsia="宋体" w:cs="Times New Roman"/>
                <w:color w:val="000000"/>
                <w:kern w:val="0"/>
                <w:sz w:val="21"/>
                <w:szCs w:val="21"/>
              </w:rPr>
              <w:t>326</w:t>
            </w:r>
            <w:r>
              <w:rPr>
                <w:rFonts w:eastAsia="宋体" w:cs="Times New Roman"/>
                <w:color w:val="000000"/>
                <w:kern w:val="0"/>
                <w:sz w:val="21"/>
                <w:szCs w:val="21"/>
              </w:rPr>
              <w:t>~0.</w:t>
            </w:r>
            <w:r>
              <w:rPr>
                <w:rFonts w:hint="eastAsia" w:eastAsia="宋体" w:cs="Times New Roman"/>
                <w:color w:val="000000"/>
                <w:kern w:val="0"/>
                <w:sz w:val="21"/>
                <w:szCs w:val="21"/>
              </w:rPr>
              <w:t>365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80" w:type="dxa"/>
            <w:vMerge w:val="continue"/>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p>
        </w:tc>
        <w:tc>
          <w:tcPr>
            <w:tcW w:w="1959"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8#下风向监控点</w:t>
            </w:r>
          </w:p>
        </w:tc>
        <w:tc>
          <w:tcPr>
            <w:tcW w:w="1417"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0.2</w:t>
            </w:r>
            <w:r>
              <w:rPr>
                <w:rFonts w:hint="eastAsia" w:eastAsia="宋体" w:cs="Times New Roman"/>
                <w:color w:val="000000"/>
                <w:kern w:val="0"/>
                <w:sz w:val="21"/>
                <w:szCs w:val="21"/>
              </w:rPr>
              <w:t>77</w:t>
            </w:r>
            <w:r>
              <w:rPr>
                <w:rFonts w:eastAsia="宋体" w:cs="Times New Roman"/>
                <w:color w:val="000000"/>
                <w:kern w:val="0"/>
                <w:sz w:val="21"/>
                <w:szCs w:val="21"/>
              </w:rPr>
              <w:t>~0.</w:t>
            </w:r>
            <w:r>
              <w:rPr>
                <w:rFonts w:hint="eastAsia" w:eastAsia="宋体" w:cs="Times New Roman"/>
                <w:color w:val="000000"/>
                <w:kern w:val="0"/>
                <w:sz w:val="21"/>
                <w:szCs w:val="21"/>
              </w:rPr>
              <w:t>316</w:t>
            </w:r>
          </w:p>
        </w:tc>
        <w:tc>
          <w:tcPr>
            <w:tcW w:w="1559"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0.2</w:t>
            </w:r>
            <w:r>
              <w:rPr>
                <w:rFonts w:hint="eastAsia" w:eastAsia="宋体" w:cs="Times New Roman"/>
                <w:color w:val="000000"/>
                <w:kern w:val="0"/>
                <w:sz w:val="21"/>
                <w:szCs w:val="21"/>
              </w:rPr>
              <w:t>67</w:t>
            </w:r>
            <w:r>
              <w:rPr>
                <w:rFonts w:eastAsia="宋体" w:cs="Times New Roman"/>
                <w:color w:val="000000"/>
                <w:kern w:val="0"/>
                <w:sz w:val="21"/>
                <w:szCs w:val="21"/>
              </w:rPr>
              <w:t>~0.2</w:t>
            </w:r>
            <w:r>
              <w:rPr>
                <w:rFonts w:hint="eastAsia" w:eastAsia="宋体" w:cs="Times New Roman"/>
                <w:color w:val="000000"/>
                <w:kern w:val="0"/>
                <w:sz w:val="21"/>
                <w:szCs w:val="21"/>
              </w:rPr>
              <w:t>91</w:t>
            </w:r>
          </w:p>
        </w:tc>
        <w:tc>
          <w:tcPr>
            <w:tcW w:w="1505"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w:t>
            </w:r>
            <w:r>
              <w:rPr>
                <w:rFonts w:hint="eastAsia" w:eastAsia="宋体" w:cs="Times New Roman"/>
                <w:color w:val="000000"/>
                <w:kern w:val="0"/>
                <w:sz w:val="21"/>
                <w:szCs w:val="21"/>
              </w:rPr>
              <w:t>436</w:t>
            </w:r>
            <w:r>
              <w:rPr>
                <w:rFonts w:eastAsia="宋体" w:cs="Times New Roman"/>
                <w:color w:val="000000"/>
                <w:kern w:val="0"/>
                <w:sz w:val="21"/>
                <w:szCs w:val="21"/>
              </w:rPr>
              <w:t>~0.</w:t>
            </w:r>
            <w:r>
              <w:rPr>
                <w:rFonts w:hint="eastAsia" w:eastAsia="宋体" w:cs="Times New Roman"/>
                <w:color w:val="000000"/>
                <w:kern w:val="0"/>
                <w:sz w:val="21"/>
                <w:szCs w:val="21"/>
              </w:rPr>
              <w:t>454</w:t>
            </w:r>
          </w:p>
        </w:tc>
        <w:tc>
          <w:tcPr>
            <w:tcW w:w="1560"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w:t>
            </w:r>
            <w:r>
              <w:rPr>
                <w:rFonts w:hint="eastAsia" w:eastAsia="宋体" w:cs="Times New Roman"/>
                <w:color w:val="000000"/>
                <w:kern w:val="0"/>
                <w:sz w:val="21"/>
                <w:szCs w:val="21"/>
              </w:rPr>
              <w:t>363</w:t>
            </w:r>
            <w:r>
              <w:rPr>
                <w:rFonts w:eastAsia="宋体" w:cs="Times New Roman"/>
                <w:color w:val="000000"/>
                <w:kern w:val="0"/>
                <w:sz w:val="21"/>
                <w:szCs w:val="21"/>
              </w:rPr>
              <w:t>~0.</w:t>
            </w:r>
            <w:r>
              <w:rPr>
                <w:rFonts w:hint="eastAsia" w:eastAsia="宋体" w:cs="Times New Roman"/>
                <w:color w:val="000000"/>
                <w:kern w:val="0"/>
                <w:sz w:val="21"/>
                <w:szCs w:val="21"/>
              </w:rPr>
              <w:t>383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80" w:type="dxa"/>
            <w:vMerge w:val="restart"/>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选厂厂界</w:t>
            </w:r>
          </w:p>
        </w:tc>
        <w:tc>
          <w:tcPr>
            <w:tcW w:w="1959"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9#上风向监控点</w:t>
            </w:r>
          </w:p>
        </w:tc>
        <w:tc>
          <w:tcPr>
            <w:tcW w:w="1417"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w:t>
            </w:r>
            <w:r>
              <w:rPr>
                <w:rFonts w:hint="eastAsia" w:eastAsia="宋体" w:cs="Times New Roman"/>
                <w:color w:val="000000"/>
                <w:kern w:val="0"/>
                <w:sz w:val="21"/>
                <w:szCs w:val="21"/>
              </w:rPr>
              <w:t>084</w:t>
            </w:r>
            <w:r>
              <w:rPr>
                <w:rFonts w:eastAsia="宋体" w:cs="Times New Roman"/>
                <w:color w:val="000000"/>
                <w:kern w:val="0"/>
                <w:sz w:val="21"/>
                <w:szCs w:val="21"/>
              </w:rPr>
              <w:t>~0.</w:t>
            </w:r>
            <w:r>
              <w:rPr>
                <w:rFonts w:hint="eastAsia" w:eastAsia="宋体" w:cs="Times New Roman"/>
                <w:color w:val="000000"/>
                <w:kern w:val="0"/>
                <w:sz w:val="21"/>
                <w:szCs w:val="21"/>
              </w:rPr>
              <w:t>100</w:t>
            </w:r>
          </w:p>
        </w:tc>
        <w:tc>
          <w:tcPr>
            <w:tcW w:w="1559"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0.07</w:t>
            </w:r>
            <w:r>
              <w:rPr>
                <w:rFonts w:hint="eastAsia" w:eastAsia="宋体" w:cs="Times New Roman"/>
                <w:color w:val="000000"/>
                <w:kern w:val="0"/>
                <w:sz w:val="21"/>
                <w:szCs w:val="21"/>
              </w:rPr>
              <w:t>7</w:t>
            </w:r>
            <w:r>
              <w:rPr>
                <w:rFonts w:eastAsia="宋体" w:cs="Times New Roman"/>
                <w:color w:val="000000"/>
                <w:kern w:val="0"/>
                <w:sz w:val="21"/>
                <w:szCs w:val="21"/>
              </w:rPr>
              <w:t>~0.</w:t>
            </w:r>
            <w:r>
              <w:rPr>
                <w:rFonts w:hint="eastAsia" w:eastAsia="宋体" w:cs="Times New Roman"/>
                <w:color w:val="000000"/>
                <w:kern w:val="0"/>
                <w:sz w:val="21"/>
                <w:szCs w:val="21"/>
              </w:rPr>
              <w:t>098</w:t>
            </w:r>
          </w:p>
        </w:tc>
        <w:tc>
          <w:tcPr>
            <w:tcW w:w="1505"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w:t>
            </w:r>
            <w:r>
              <w:rPr>
                <w:rFonts w:hint="eastAsia" w:eastAsia="宋体" w:cs="Times New Roman"/>
                <w:color w:val="000000"/>
                <w:kern w:val="0"/>
                <w:sz w:val="21"/>
                <w:szCs w:val="21"/>
              </w:rPr>
              <w:t>058</w:t>
            </w:r>
            <w:r>
              <w:rPr>
                <w:rFonts w:eastAsia="宋体" w:cs="Times New Roman"/>
                <w:color w:val="000000"/>
                <w:kern w:val="0"/>
                <w:sz w:val="21"/>
                <w:szCs w:val="21"/>
              </w:rPr>
              <w:t>~0.</w:t>
            </w:r>
            <w:r>
              <w:rPr>
                <w:rFonts w:hint="eastAsia" w:eastAsia="宋体" w:cs="Times New Roman"/>
                <w:color w:val="000000"/>
                <w:kern w:val="0"/>
                <w:sz w:val="21"/>
                <w:szCs w:val="21"/>
              </w:rPr>
              <w:t>0779</w:t>
            </w:r>
          </w:p>
        </w:tc>
        <w:tc>
          <w:tcPr>
            <w:tcW w:w="1560"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w:t>
            </w:r>
            <w:r>
              <w:rPr>
                <w:rFonts w:hint="eastAsia" w:eastAsia="宋体" w:cs="Times New Roman"/>
                <w:color w:val="000000"/>
                <w:kern w:val="0"/>
                <w:sz w:val="21"/>
                <w:szCs w:val="21"/>
              </w:rPr>
              <w:t>089</w:t>
            </w:r>
            <w:r>
              <w:rPr>
                <w:rFonts w:eastAsia="宋体" w:cs="Times New Roman"/>
                <w:color w:val="000000"/>
                <w:kern w:val="0"/>
                <w:sz w:val="21"/>
                <w:szCs w:val="21"/>
              </w:rPr>
              <w:t>~0.1</w:t>
            </w:r>
            <w:r>
              <w:rPr>
                <w:rFonts w:hint="eastAsia" w:eastAsia="宋体" w:cs="Times New Roman"/>
                <w:color w:val="000000"/>
                <w:kern w:val="0"/>
                <w:sz w:val="21"/>
                <w:szCs w:val="21"/>
              </w:rPr>
              <w:t>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80" w:type="dxa"/>
            <w:vMerge w:val="continue"/>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p>
        </w:tc>
        <w:tc>
          <w:tcPr>
            <w:tcW w:w="1959"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10#下风向监控点</w:t>
            </w:r>
          </w:p>
        </w:tc>
        <w:tc>
          <w:tcPr>
            <w:tcW w:w="1417"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w:t>
            </w:r>
            <w:r>
              <w:rPr>
                <w:rFonts w:hint="eastAsia" w:eastAsia="宋体" w:cs="Times New Roman"/>
                <w:color w:val="000000"/>
                <w:kern w:val="0"/>
                <w:sz w:val="21"/>
                <w:szCs w:val="21"/>
              </w:rPr>
              <w:t>239</w:t>
            </w:r>
            <w:r>
              <w:rPr>
                <w:rFonts w:eastAsia="宋体" w:cs="Times New Roman"/>
                <w:color w:val="000000"/>
                <w:kern w:val="0"/>
                <w:sz w:val="21"/>
                <w:szCs w:val="21"/>
              </w:rPr>
              <w:t>~0.</w:t>
            </w:r>
            <w:r>
              <w:rPr>
                <w:rFonts w:hint="eastAsia" w:eastAsia="宋体" w:cs="Times New Roman"/>
                <w:color w:val="000000"/>
                <w:kern w:val="0"/>
                <w:sz w:val="21"/>
                <w:szCs w:val="21"/>
              </w:rPr>
              <w:t>253</w:t>
            </w:r>
          </w:p>
        </w:tc>
        <w:tc>
          <w:tcPr>
            <w:tcW w:w="1559"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0.2</w:t>
            </w:r>
            <w:r>
              <w:rPr>
                <w:rFonts w:hint="eastAsia" w:eastAsia="宋体" w:cs="Times New Roman"/>
                <w:color w:val="000000"/>
                <w:kern w:val="0"/>
                <w:sz w:val="21"/>
                <w:szCs w:val="21"/>
              </w:rPr>
              <w:t>33</w:t>
            </w:r>
            <w:r>
              <w:rPr>
                <w:rFonts w:eastAsia="宋体" w:cs="Times New Roman"/>
                <w:color w:val="000000"/>
                <w:kern w:val="0"/>
                <w:sz w:val="21"/>
                <w:szCs w:val="21"/>
              </w:rPr>
              <w:t>~0.2</w:t>
            </w:r>
            <w:r>
              <w:rPr>
                <w:rFonts w:hint="eastAsia" w:eastAsia="宋体" w:cs="Times New Roman"/>
                <w:color w:val="000000"/>
                <w:kern w:val="0"/>
                <w:sz w:val="21"/>
                <w:szCs w:val="21"/>
              </w:rPr>
              <w:t>51</w:t>
            </w:r>
          </w:p>
        </w:tc>
        <w:tc>
          <w:tcPr>
            <w:tcW w:w="1505"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0.19</w:t>
            </w:r>
            <w:r>
              <w:rPr>
                <w:rFonts w:hint="eastAsia" w:eastAsia="宋体" w:cs="Times New Roman"/>
                <w:color w:val="000000"/>
                <w:kern w:val="0"/>
                <w:sz w:val="21"/>
                <w:szCs w:val="21"/>
              </w:rPr>
              <w:t>3</w:t>
            </w:r>
            <w:r>
              <w:rPr>
                <w:rFonts w:eastAsia="宋体" w:cs="Times New Roman"/>
                <w:color w:val="000000"/>
                <w:kern w:val="0"/>
                <w:sz w:val="21"/>
                <w:szCs w:val="21"/>
              </w:rPr>
              <w:t>~0.2</w:t>
            </w:r>
            <w:r>
              <w:rPr>
                <w:rFonts w:hint="eastAsia" w:eastAsia="宋体" w:cs="Times New Roman"/>
                <w:color w:val="000000"/>
                <w:kern w:val="0"/>
                <w:sz w:val="21"/>
                <w:szCs w:val="21"/>
              </w:rPr>
              <w:t>16</w:t>
            </w:r>
          </w:p>
        </w:tc>
        <w:tc>
          <w:tcPr>
            <w:tcW w:w="1560"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w:t>
            </w:r>
            <w:r>
              <w:rPr>
                <w:rFonts w:hint="eastAsia" w:eastAsia="宋体" w:cs="Times New Roman"/>
                <w:color w:val="000000"/>
                <w:kern w:val="0"/>
                <w:sz w:val="21"/>
                <w:szCs w:val="21"/>
              </w:rPr>
              <w:t>198</w:t>
            </w:r>
            <w:r>
              <w:rPr>
                <w:rFonts w:eastAsia="宋体" w:cs="Times New Roman"/>
                <w:color w:val="000000"/>
                <w:kern w:val="0"/>
                <w:sz w:val="21"/>
                <w:szCs w:val="21"/>
              </w:rPr>
              <w:t>~0.2</w:t>
            </w:r>
            <w:r>
              <w:rPr>
                <w:rFonts w:hint="eastAsia" w:eastAsia="宋体" w:cs="Times New Roman"/>
                <w:color w:val="000000"/>
                <w:kern w:val="0"/>
                <w:sz w:val="21"/>
                <w:szCs w:val="21"/>
              </w:rPr>
              <w:t>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80" w:type="dxa"/>
            <w:vMerge w:val="continue"/>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p>
        </w:tc>
        <w:tc>
          <w:tcPr>
            <w:tcW w:w="1959"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11#下风向监控点</w:t>
            </w:r>
          </w:p>
        </w:tc>
        <w:tc>
          <w:tcPr>
            <w:tcW w:w="1417"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w:t>
            </w:r>
            <w:r>
              <w:rPr>
                <w:rFonts w:hint="eastAsia" w:eastAsia="宋体" w:cs="Times New Roman"/>
                <w:color w:val="000000"/>
                <w:kern w:val="0"/>
                <w:sz w:val="21"/>
                <w:szCs w:val="21"/>
              </w:rPr>
              <w:t>220</w:t>
            </w:r>
            <w:r>
              <w:rPr>
                <w:rFonts w:eastAsia="宋体" w:cs="Times New Roman"/>
                <w:color w:val="000000"/>
                <w:kern w:val="0"/>
                <w:sz w:val="21"/>
                <w:szCs w:val="21"/>
              </w:rPr>
              <w:t>~0.</w:t>
            </w:r>
            <w:r>
              <w:rPr>
                <w:rFonts w:hint="eastAsia" w:eastAsia="宋体" w:cs="Times New Roman"/>
                <w:color w:val="000000"/>
                <w:kern w:val="0"/>
                <w:sz w:val="21"/>
                <w:szCs w:val="21"/>
              </w:rPr>
              <w:t>308</w:t>
            </w:r>
          </w:p>
        </w:tc>
        <w:tc>
          <w:tcPr>
            <w:tcW w:w="1559"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0.2</w:t>
            </w:r>
            <w:r>
              <w:rPr>
                <w:rFonts w:hint="eastAsia" w:eastAsia="宋体" w:cs="Times New Roman"/>
                <w:color w:val="000000"/>
                <w:kern w:val="0"/>
                <w:sz w:val="21"/>
                <w:szCs w:val="21"/>
              </w:rPr>
              <w:t>14</w:t>
            </w:r>
            <w:r>
              <w:rPr>
                <w:rFonts w:eastAsia="宋体" w:cs="Times New Roman"/>
                <w:color w:val="000000"/>
                <w:kern w:val="0"/>
                <w:sz w:val="21"/>
                <w:szCs w:val="21"/>
              </w:rPr>
              <w:t>~0.2</w:t>
            </w:r>
            <w:r>
              <w:rPr>
                <w:rFonts w:hint="eastAsia" w:eastAsia="宋体" w:cs="Times New Roman"/>
                <w:color w:val="000000"/>
                <w:kern w:val="0"/>
                <w:sz w:val="21"/>
                <w:szCs w:val="21"/>
              </w:rPr>
              <w:t>51</w:t>
            </w:r>
          </w:p>
        </w:tc>
        <w:tc>
          <w:tcPr>
            <w:tcW w:w="1505"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0.21</w:t>
            </w:r>
            <w:r>
              <w:rPr>
                <w:rFonts w:hint="eastAsia" w:eastAsia="宋体" w:cs="Times New Roman"/>
                <w:color w:val="000000"/>
                <w:kern w:val="0"/>
                <w:sz w:val="21"/>
                <w:szCs w:val="21"/>
              </w:rPr>
              <w:t>2</w:t>
            </w:r>
            <w:r>
              <w:rPr>
                <w:rFonts w:eastAsia="宋体" w:cs="Times New Roman"/>
                <w:color w:val="000000"/>
                <w:kern w:val="0"/>
                <w:sz w:val="21"/>
                <w:szCs w:val="21"/>
              </w:rPr>
              <w:t>~0.2</w:t>
            </w:r>
            <w:r>
              <w:rPr>
                <w:rFonts w:hint="eastAsia" w:eastAsia="宋体" w:cs="Times New Roman"/>
                <w:color w:val="000000"/>
                <w:kern w:val="0"/>
                <w:sz w:val="21"/>
                <w:szCs w:val="21"/>
              </w:rPr>
              <w:t>16</w:t>
            </w:r>
          </w:p>
        </w:tc>
        <w:tc>
          <w:tcPr>
            <w:tcW w:w="1560"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w:t>
            </w:r>
            <w:r>
              <w:rPr>
                <w:rFonts w:hint="eastAsia" w:eastAsia="宋体" w:cs="Times New Roman"/>
                <w:color w:val="000000"/>
                <w:kern w:val="0"/>
                <w:sz w:val="21"/>
                <w:szCs w:val="21"/>
              </w:rPr>
              <w:t>178</w:t>
            </w:r>
            <w:r>
              <w:rPr>
                <w:rFonts w:eastAsia="宋体" w:cs="Times New Roman"/>
                <w:color w:val="000000"/>
                <w:kern w:val="0"/>
                <w:sz w:val="21"/>
                <w:szCs w:val="21"/>
              </w:rPr>
              <w:t>~0.</w:t>
            </w:r>
            <w:r>
              <w:rPr>
                <w:rFonts w:hint="eastAsia" w:eastAsia="宋体" w:cs="Times New Roman"/>
                <w:color w:val="000000"/>
                <w:kern w:val="0"/>
                <w:sz w:val="21"/>
                <w:szCs w:val="21"/>
              </w:rPr>
              <w:t>198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80" w:type="dxa"/>
            <w:vMerge w:val="continue"/>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p>
        </w:tc>
        <w:tc>
          <w:tcPr>
            <w:tcW w:w="1959"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12#下风向参照点</w:t>
            </w:r>
          </w:p>
        </w:tc>
        <w:tc>
          <w:tcPr>
            <w:tcW w:w="1417"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w:t>
            </w:r>
            <w:r>
              <w:rPr>
                <w:rFonts w:hint="eastAsia" w:eastAsia="宋体" w:cs="Times New Roman"/>
                <w:color w:val="000000"/>
                <w:kern w:val="0"/>
                <w:sz w:val="21"/>
                <w:szCs w:val="21"/>
              </w:rPr>
              <w:t>203</w:t>
            </w:r>
            <w:r>
              <w:rPr>
                <w:rFonts w:eastAsia="宋体" w:cs="Times New Roman"/>
                <w:color w:val="000000"/>
                <w:kern w:val="0"/>
                <w:sz w:val="21"/>
                <w:szCs w:val="21"/>
              </w:rPr>
              <w:t>~0.2</w:t>
            </w:r>
            <w:r>
              <w:rPr>
                <w:rFonts w:hint="eastAsia" w:eastAsia="宋体" w:cs="Times New Roman"/>
                <w:color w:val="000000"/>
                <w:kern w:val="0"/>
                <w:sz w:val="21"/>
                <w:szCs w:val="21"/>
              </w:rPr>
              <w:t>84</w:t>
            </w:r>
          </w:p>
        </w:tc>
        <w:tc>
          <w:tcPr>
            <w:tcW w:w="1559"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w:t>
            </w:r>
            <w:r>
              <w:rPr>
                <w:rFonts w:hint="eastAsia" w:eastAsia="宋体" w:cs="Times New Roman"/>
                <w:color w:val="000000"/>
                <w:kern w:val="0"/>
                <w:sz w:val="21"/>
                <w:szCs w:val="21"/>
              </w:rPr>
              <w:t>195</w:t>
            </w:r>
            <w:r>
              <w:rPr>
                <w:rFonts w:eastAsia="宋体" w:cs="Times New Roman"/>
                <w:color w:val="000000"/>
                <w:kern w:val="0"/>
                <w:sz w:val="21"/>
                <w:szCs w:val="21"/>
              </w:rPr>
              <w:t>~0.2</w:t>
            </w:r>
            <w:r>
              <w:rPr>
                <w:rFonts w:hint="eastAsia" w:eastAsia="宋体" w:cs="Times New Roman"/>
                <w:color w:val="000000"/>
                <w:kern w:val="0"/>
                <w:sz w:val="21"/>
                <w:szCs w:val="21"/>
              </w:rPr>
              <w:t>32</w:t>
            </w:r>
          </w:p>
        </w:tc>
        <w:tc>
          <w:tcPr>
            <w:tcW w:w="1505"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w:t>
            </w:r>
            <w:r>
              <w:rPr>
                <w:rFonts w:hint="eastAsia" w:eastAsia="宋体" w:cs="Times New Roman"/>
                <w:color w:val="000000"/>
                <w:kern w:val="0"/>
                <w:sz w:val="21"/>
                <w:szCs w:val="21"/>
              </w:rPr>
              <w:t>193</w:t>
            </w:r>
            <w:r>
              <w:rPr>
                <w:rFonts w:eastAsia="宋体" w:cs="Times New Roman"/>
                <w:color w:val="000000"/>
                <w:kern w:val="0"/>
                <w:sz w:val="21"/>
                <w:szCs w:val="21"/>
              </w:rPr>
              <w:t>~0.2</w:t>
            </w:r>
            <w:r>
              <w:rPr>
                <w:rFonts w:hint="eastAsia" w:eastAsia="宋体" w:cs="Times New Roman"/>
                <w:color w:val="000000"/>
                <w:kern w:val="0"/>
                <w:sz w:val="21"/>
                <w:szCs w:val="21"/>
              </w:rPr>
              <w:t>14</w:t>
            </w:r>
          </w:p>
        </w:tc>
        <w:tc>
          <w:tcPr>
            <w:tcW w:w="1560" w:type="dxa"/>
            <w:shd w:val="clear" w:color="auto" w:fill="auto"/>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w:t>
            </w:r>
            <w:r>
              <w:rPr>
                <w:rFonts w:hint="eastAsia" w:eastAsia="宋体" w:cs="Times New Roman"/>
                <w:color w:val="000000"/>
                <w:kern w:val="0"/>
                <w:sz w:val="21"/>
                <w:szCs w:val="21"/>
              </w:rPr>
              <w:t>180</w:t>
            </w:r>
            <w:r>
              <w:rPr>
                <w:rFonts w:eastAsia="宋体" w:cs="Times New Roman"/>
                <w:color w:val="000000"/>
                <w:kern w:val="0"/>
                <w:sz w:val="21"/>
                <w:szCs w:val="21"/>
              </w:rPr>
              <w:t>~0.</w:t>
            </w:r>
            <w:r>
              <w:rPr>
                <w:rFonts w:hint="eastAsia" w:eastAsia="宋体" w:cs="Times New Roman"/>
                <w:color w:val="000000"/>
                <w:kern w:val="0"/>
                <w:sz w:val="21"/>
                <w:szCs w:val="21"/>
              </w:rPr>
              <w:t>197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39" w:type="dxa"/>
            <w:gridSpan w:val="2"/>
            <w:shd w:val="clear" w:color="auto" w:fill="auto"/>
            <w:noWrap/>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标准限值</w:t>
            </w:r>
          </w:p>
        </w:tc>
        <w:tc>
          <w:tcPr>
            <w:tcW w:w="1417" w:type="dxa"/>
            <w:shd w:val="clear" w:color="auto" w:fill="auto"/>
            <w:noWrap/>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1</w:t>
            </w:r>
            <w:r>
              <w:rPr>
                <w:rFonts w:hint="eastAsia" w:eastAsia="宋体" w:cs="Times New Roman"/>
                <w:color w:val="000000"/>
                <w:kern w:val="0"/>
                <w:sz w:val="21"/>
                <w:szCs w:val="21"/>
              </w:rPr>
              <w:t>.0</w:t>
            </w:r>
          </w:p>
        </w:tc>
        <w:tc>
          <w:tcPr>
            <w:tcW w:w="1559" w:type="dxa"/>
            <w:shd w:val="clear" w:color="auto" w:fill="auto"/>
            <w:noWrap/>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1</w:t>
            </w:r>
            <w:r>
              <w:rPr>
                <w:rFonts w:hint="eastAsia" w:eastAsia="宋体" w:cs="Times New Roman"/>
                <w:color w:val="000000"/>
                <w:kern w:val="0"/>
                <w:sz w:val="21"/>
                <w:szCs w:val="21"/>
              </w:rPr>
              <w:t>.0</w:t>
            </w:r>
          </w:p>
        </w:tc>
        <w:tc>
          <w:tcPr>
            <w:tcW w:w="1505" w:type="dxa"/>
            <w:shd w:val="clear" w:color="auto" w:fill="auto"/>
            <w:noWrap/>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1</w:t>
            </w:r>
            <w:r>
              <w:rPr>
                <w:rFonts w:hint="eastAsia" w:eastAsia="宋体" w:cs="Times New Roman"/>
                <w:color w:val="000000"/>
                <w:kern w:val="0"/>
                <w:sz w:val="21"/>
                <w:szCs w:val="21"/>
              </w:rPr>
              <w:t>.0</w:t>
            </w:r>
          </w:p>
        </w:tc>
        <w:tc>
          <w:tcPr>
            <w:tcW w:w="1560" w:type="dxa"/>
            <w:shd w:val="clear" w:color="auto" w:fill="auto"/>
            <w:noWrap/>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1</w:t>
            </w:r>
            <w:r>
              <w:rPr>
                <w:rFonts w:hint="eastAsia" w:eastAsia="宋体" w:cs="Times New Roman"/>
                <w:color w:val="000000"/>
                <w:kern w:val="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39" w:type="dxa"/>
            <w:gridSpan w:val="2"/>
            <w:shd w:val="clear" w:color="auto" w:fill="auto"/>
            <w:noWrap/>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达标情况</w:t>
            </w:r>
          </w:p>
        </w:tc>
        <w:tc>
          <w:tcPr>
            <w:tcW w:w="1417" w:type="dxa"/>
            <w:shd w:val="clear" w:color="auto" w:fill="auto"/>
            <w:noWrap/>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达标</w:t>
            </w:r>
          </w:p>
        </w:tc>
        <w:tc>
          <w:tcPr>
            <w:tcW w:w="1559" w:type="dxa"/>
            <w:shd w:val="clear" w:color="auto" w:fill="auto"/>
            <w:noWrap/>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达标</w:t>
            </w:r>
          </w:p>
        </w:tc>
        <w:tc>
          <w:tcPr>
            <w:tcW w:w="1505" w:type="dxa"/>
            <w:shd w:val="clear" w:color="auto" w:fill="auto"/>
            <w:noWrap/>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达标</w:t>
            </w:r>
          </w:p>
        </w:tc>
        <w:tc>
          <w:tcPr>
            <w:tcW w:w="1560" w:type="dxa"/>
            <w:shd w:val="clear" w:color="auto" w:fill="auto"/>
            <w:noWrap/>
            <w:vAlign w:val="center"/>
          </w:tcPr>
          <w:p>
            <w:pPr>
              <w:widowControl/>
              <w:adjustRightInd w:val="0"/>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达标</w:t>
            </w:r>
          </w:p>
        </w:tc>
      </w:tr>
    </w:tbl>
    <w:p>
      <w:pPr>
        <w:ind w:firstLine="480"/>
        <w:rPr>
          <w:rFonts w:cs="Times New Roman"/>
        </w:rPr>
        <w:sectPr>
          <w:pgSz w:w="11906" w:h="16838"/>
          <w:pgMar w:top="1440" w:right="1758" w:bottom="1440" w:left="1758" w:header="851" w:footer="992" w:gutter="0"/>
          <w:cols w:space="425" w:num="1"/>
          <w:docGrid w:type="lines" w:linePitch="326" w:charSpace="0"/>
        </w:sectPr>
      </w:pPr>
    </w:p>
    <w:p>
      <w:pPr>
        <w:pStyle w:val="4"/>
        <w:rPr>
          <w:rFonts w:cs="Times New Roman"/>
          <w:color w:val="000000" w:themeColor="text1"/>
          <w14:textFill>
            <w14:solidFill>
              <w14:schemeClr w14:val="tx1"/>
            </w14:solidFill>
          </w14:textFill>
        </w:rPr>
      </w:pPr>
      <w:bookmarkStart w:id="96" w:name="_Toc94185485"/>
      <w:r>
        <w:rPr>
          <w:rFonts w:cs="Times New Roman"/>
          <w:color w:val="000000" w:themeColor="text1"/>
          <w14:textFill>
            <w14:solidFill>
              <w14:schemeClr w14:val="tx1"/>
            </w14:solidFill>
          </w14:textFill>
        </w:rPr>
        <w:t>5.2.3自行监测情况</w:t>
      </w:r>
      <w:bookmarkEnd w:id="96"/>
    </w:p>
    <w:p>
      <w:pPr>
        <w:pStyle w:val="66"/>
        <w:adjustRightInd w:val="0"/>
        <w:snapToGrid w:val="0"/>
        <w:ind w:firstLine="480"/>
        <w:rPr>
          <w:rFonts w:cs="Times New Roman"/>
          <w:szCs w:val="22"/>
        </w:rPr>
      </w:pPr>
      <w:r>
        <w:rPr>
          <w:rFonts w:cs="Times New Roman"/>
          <w:szCs w:val="22"/>
        </w:rPr>
        <w:t>2021年</w:t>
      </w:r>
      <w:r>
        <w:rPr>
          <w:rFonts w:hint="eastAsia" w:cs="Times New Roman"/>
          <w:szCs w:val="22"/>
        </w:rPr>
        <w:t>曙光金铜矿</w:t>
      </w:r>
      <w:r>
        <w:rPr>
          <w:rFonts w:cs="Times New Roman"/>
          <w:szCs w:val="22"/>
        </w:rPr>
        <w:t>全年生产时间330天，自行监测</w:t>
      </w:r>
      <w:r>
        <w:rPr>
          <w:rFonts w:hint="eastAsia" w:cs="Times New Roman"/>
          <w:szCs w:val="22"/>
        </w:rPr>
        <w:t>全部为</w:t>
      </w:r>
      <w:r>
        <w:rPr>
          <w:rFonts w:cs="Times New Roman"/>
          <w:szCs w:val="22"/>
        </w:rPr>
        <w:t>委托手工监测。</w:t>
      </w:r>
    </w:p>
    <w:p>
      <w:pPr>
        <w:pStyle w:val="66"/>
        <w:adjustRightInd w:val="0"/>
        <w:snapToGrid w:val="0"/>
        <w:ind w:firstLine="480"/>
        <w:rPr>
          <w:rFonts w:cs="Times New Roman"/>
        </w:rPr>
      </w:pPr>
      <w:r>
        <w:rPr>
          <w:rFonts w:cs="Times New Roman"/>
        </w:rPr>
        <w:t>按照年初制定的自行监测计划，</w:t>
      </w:r>
      <w:r>
        <w:rPr>
          <w:rFonts w:hint="eastAsia" w:cs="Times New Roman"/>
        </w:rPr>
        <w:t>曙光金铜矿</w:t>
      </w:r>
      <w:r>
        <w:rPr>
          <w:rFonts w:cs="Times New Roman"/>
        </w:rPr>
        <w:t>委托</w:t>
      </w:r>
      <w:r>
        <w:rPr>
          <w:rFonts w:hint="eastAsia"/>
        </w:rPr>
        <w:t>吉林省隆嘉环境检测有限公司</w:t>
      </w:r>
      <w:r>
        <w:rPr>
          <w:rFonts w:cs="Times New Roman"/>
        </w:rPr>
        <w:t>对企业产生的</w:t>
      </w:r>
      <w:r>
        <w:rPr>
          <w:rFonts w:hint="eastAsia" w:cs="Times New Roman"/>
        </w:rPr>
        <w:t>废气排放口、无组织废气（采矿场、排土场、选厂）、</w:t>
      </w:r>
      <w:r>
        <w:rPr>
          <w:rFonts w:cs="Times New Roman"/>
        </w:rPr>
        <w:t>厂界噪声</w:t>
      </w:r>
      <w:r>
        <w:rPr>
          <w:rFonts w:hint="eastAsia" w:cs="Times New Roman"/>
        </w:rPr>
        <w:t>、雨水排放口</w:t>
      </w:r>
      <w:r>
        <w:rPr>
          <w:rFonts w:cs="Times New Roman"/>
        </w:rPr>
        <w:t>以及厂区周围的</w:t>
      </w:r>
      <w:r>
        <w:rPr>
          <w:rFonts w:hint="eastAsia" w:cs="Times New Roman"/>
        </w:rPr>
        <w:t>环境空气、地表水、</w:t>
      </w:r>
      <w:r>
        <w:rPr>
          <w:rFonts w:cs="Times New Roman"/>
        </w:rPr>
        <w:t>地下水等开展了手工监测，包括</w:t>
      </w:r>
      <w:r>
        <w:rPr>
          <w:rFonts w:hint="eastAsia" w:cs="Times New Roman"/>
        </w:rPr>
        <w:t>选厂</w:t>
      </w:r>
      <w:r>
        <w:rPr>
          <w:rFonts w:cs="Times New Roman"/>
        </w:rPr>
        <w:t>废气监测</w:t>
      </w:r>
      <w:r>
        <w:rPr>
          <w:rFonts w:hint="eastAsia" w:cs="Times New Roman"/>
        </w:rPr>
        <w:t>4</w:t>
      </w:r>
      <w:r>
        <w:rPr>
          <w:rFonts w:cs="Times New Roman"/>
        </w:rPr>
        <w:t>次、</w:t>
      </w:r>
      <w:r>
        <w:rPr>
          <w:rFonts w:hint="eastAsia" w:cs="Times New Roman"/>
        </w:rPr>
        <w:t>锅炉废气</w:t>
      </w:r>
      <w:r>
        <w:rPr>
          <w:rFonts w:cs="Times New Roman"/>
        </w:rPr>
        <w:t>监测</w:t>
      </w:r>
      <w:r>
        <w:rPr>
          <w:rFonts w:hint="eastAsia" w:cs="Times New Roman"/>
        </w:rPr>
        <w:t>6</w:t>
      </w:r>
      <w:r>
        <w:rPr>
          <w:rFonts w:cs="Times New Roman"/>
        </w:rPr>
        <w:t>次；厂界无组织废气监测4次；</w:t>
      </w:r>
      <w:r>
        <w:rPr>
          <w:rFonts w:hint="eastAsia" w:cs="Times New Roman"/>
        </w:rPr>
        <w:t>选矿厂回水池监测11次、排土场和露天采坑淋溶水监测2次</w:t>
      </w:r>
      <w:r>
        <w:rPr>
          <w:rFonts w:cs="Times New Roman"/>
        </w:rPr>
        <w:t>；厂界噪声监测4次；</w:t>
      </w:r>
      <w:r>
        <w:rPr>
          <w:rFonts w:hint="eastAsia" w:cs="Times New Roman"/>
        </w:rPr>
        <w:t>环境空气监测4次、地表水监测4次、尾矿库周围</w:t>
      </w:r>
      <w:r>
        <w:rPr>
          <w:rFonts w:cs="Times New Roman"/>
        </w:rPr>
        <w:t>地下水监测</w:t>
      </w:r>
      <w:r>
        <w:rPr>
          <w:rFonts w:hint="eastAsia" w:cs="Times New Roman"/>
        </w:rPr>
        <w:t>3</w:t>
      </w:r>
      <w:r>
        <w:rPr>
          <w:rFonts w:cs="Times New Roman"/>
        </w:rPr>
        <w:t>次</w:t>
      </w:r>
      <w:r>
        <w:rPr>
          <w:rFonts w:hint="eastAsia" w:cs="Times New Roman"/>
        </w:rPr>
        <w:t>、雨水监测4次、土壤监测1次</w:t>
      </w:r>
      <w:r>
        <w:rPr>
          <w:rFonts w:cs="Times New Roman"/>
        </w:rPr>
        <w:t>。所有委托监测结果全部达标，无超标次数。</w:t>
      </w:r>
    </w:p>
    <w:p>
      <w:pPr>
        <w:pStyle w:val="66"/>
        <w:adjustRightInd w:val="0"/>
        <w:snapToGrid w:val="0"/>
        <w:ind w:firstLine="480"/>
        <w:rPr>
          <w:rFonts w:cs="Times New Roman"/>
        </w:rPr>
      </w:pPr>
      <w:r>
        <w:rPr>
          <w:rFonts w:hint="eastAsia" w:cs="Times New Roman"/>
        </w:rPr>
        <w:t>吉林省隆嘉环境检测有限公司位于延边州延吉市昌盛街281号1001，于2015年12月18日成立，注册资本为200万。公司主要经营室内外环境检测服务，</w:t>
      </w:r>
      <w:r>
        <w:rPr>
          <w:rFonts w:cs="Times New Roman"/>
        </w:rPr>
        <w:t>已取得《检验检测机构资质认定证书》（编号</w:t>
      </w:r>
      <w:r>
        <w:rPr>
          <w:rFonts w:hint="eastAsia" w:cs="Times New Roman"/>
        </w:rPr>
        <w:t>170712050005</w:t>
      </w:r>
      <w:r>
        <w:rPr>
          <w:rFonts w:cs="Times New Roman"/>
        </w:rPr>
        <w:t>），</w:t>
      </w:r>
      <w:r>
        <w:rPr>
          <w:rFonts w:hint="eastAsia" w:cs="Times New Roman"/>
        </w:rPr>
        <w:t>已在吉林省生态环境厅网站</w:t>
      </w:r>
      <w:r>
        <w:fldChar w:fldCharType="begin"/>
      </w:r>
      <w:r>
        <w:instrText xml:space="preserve"> HYPERLINK "http://sthjt.jl.gov.cn/ztzl/shhhjjc/" \t "_blank" \o "吉林省社会化环境检测机构登记备案监管专栏" </w:instrText>
      </w:r>
      <w:r>
        <w:fldChar w:fldCharType="separate"/>
      </w:r>
      <w:r>
        <w:rPr>
          <w:rFonts w:hint="eastAsia" w:cs="Times New Roman"/>
        </w:rPr>
        <w:t>吉林省社会化环境检测机构登记备案监管专栏</w:t>
      </w:r>
      <w:r>
        <w:rPr>
          <w:rFonts w:hint="eastAsia" w:cs="Times New Roman"/>
        </w:rPr>
        <w:fldChar w:fldCharType="end"/>
      </w:r>
      <w:r>
        <w:rPr>
          <w:rFonts w:hint="eastAsia" w:cs="Times New Roman"/>
        </w:rPr>
        <w:t>登记备案（备案时限2020.4.19~2023.1.4）。</w:t>
      </w:r>
      <w:r>
        <w:rPr>
          <w:rFonts w:cs="Times New Roman"/>
        </w:rPr>
        <w:t>该公司现有气相色谱仪、原子吸收分光光度计、原子荧光光度计、离子色谱仪、智能烟尘测试仪等各种精密仪器设备，</w:t>
      </w:r>
      <w:r>
        <w:rPr>
          <w:rFonts w:hint="eastAsia" w:cs="Times New Roman"/>
        </w:rPr>
        <w:t>可开展</w:t>
      </w:r>
      <w:r>
        <w:rPr>
          <w:rFonts w:cs="Times New Roman"/>
        </w:rPr>
        <w:t>水质检测</w:t>
      </w:r>
      <w:r>
        <w:rPr>
          <w:rFonts w:hint="eastAsia" w:cs="Times New Roman"/>
        </w:rPr>
        <w:t>（水、废水）、</w:t>
      </w:r>
      <w:r>
        <w:rPr>
          <w:rFonts w:cs="Times New Roman"/>
        </w:rPr>
        <w:t>土壤检测</w:t>
      </w:r>
      <w:r>
        <w:rPr>
          <w:rFonts w:hint="eastAsia" w:cs="Times New Roman"/>
        </w:rPr>
        <w:t>、</w:t>
      </w:r>
      <w:r>
        <w:rPr>
          <w:rFonts w:cs="Times New Roman"/>
        </w:rPr>
        <w:t>空气检测</w:t>
      </w:r>
      <w:r>
        <w:rPr>
          <w:rFonts w:hint="eastAsia" w:cs="Times New Roman"/>
        </w:rPr>
        <w:t>、废气检测、污泥及固体废物检测、微生物检测、噪声及振动检测</w:t>
      </w:r>
      <w:r>
        <w:rPr>
          <w:rFonts w:cs="Times New Roman"/>
        </w:rPr>
        <w:t>。</w:t>
      </w:r>
    </w:p>
    <w:p>
      <w:pPr>
        <w:pStyle w:val="66"/>
        <w:adjustRightInd w:val="0"/>
        <w:snapToGrid w:val="0"/>
        <w:ind w:firstLine="480"/>
        <w:rPr>
          <w:rFonts w:cs="Times New Roman"/>
        </w:rPr>
      </w:pPr>
      <w:r>
        <w:rPr>
          <w:rFonts w:hint="eastAsia" w:cs="Times New Roman"/>
        </w:rPr>
        <w:t>2022年曙光金铜矿委托吉林省同正检测技术有限公司对其尾矿浓缩输送系统浓密机区域和化验室、危废间周围的</w:t>
      </w:r>
      <w:r>
        <w:rPr>
          <w:rFonts w:cs="Times New Roman"/>
        </w:rPr>
        <w:t>土壤环境</w:t>
      </w:r>
      <w:r>
        <w:rPr>
          <w:rFonts w:hint="eastAsia" w:cs="Times New Roman"/>
        </w:rPr>
        <w:t>开展1次监测。吉林省同正检测技术有限公司位于长春市经济开发区世纪大街888号，是吉林省具实力的第三方专业检测服务机构，已取得</w:t>
      </w:r>
      <w:r>
        <w:rPr>
          <w:rFonts w:cs="Times New Roman"/>
        </w:rPr>
        <w:t>《检验检测机构资质认定证书》（编号</w:t>
      </w:r>
      <w:r>
        <w:rPr>
          <w:rFonts w:hint="eastAsia" w:cs="Times New Roman"/>
        </w:rPr>
        <w:t>15070050091</w:t>
      </w:r>
      <w:r>
        <w:rPr>
          <w:rFonts w:cs="Times New Roman"/>
        </w:rPr>
        <w:t>）</w:t>
      </w:r>
      <w:r>
        <w:rPr>
          <w:rFonts w:hint="eastAsia" w:cs="Times New Roman"/>
        </w:rPr>
        <w:t>，已在吉林省生态环境厅网站吉林省社会化环境检测机构登记备案监管专栏登记备案（备案时限2020.3.25~2023.3.25）。该公司目前可为客户提供多项检测、治理、咨询服务，主要有：水质检测、空气检测、土壤检测、噪声检测、职业卫生检测、食品检测、农产品检测、有机产品检测、无公害认证检测、饲料、化肥与农药检测等。</w:t>
      </w:r>
    </w:p>
    <w:p>
      <w:pPr>
        <w:pStyle w:val="3"/>
        <w:rPr>
          <w:rFonts w:cs="Times New Roman"/>
          <w:szCs w:val="28"/>
        </w:rPr>
      </w:pPr>
      <w:bookmarkStart w:id="97" w:name="_Toc127266653"/>
      <w:bookmarkStart w:id="98" w:name="_Toc97540961"/>
      <w:bookmarkStart w:id="99" w:name="_Toc94185486"/>
      <w:r>
        <w:rPr>
          <w:rFonts w:cs="Times New Roman"/>
          <w:szCs w:val="28"/>
        </w:rPr>
        <w:t>5.3 工业固体废物的产生、贮存、流向和利用处置信息</w:t>
      </w:r>
      <w:bookmarkEnd w:id="97"/>
      <w:bookmarkEnd w:id="98"/>
      <w:bookmarkEnd w:id="99"/>
    </w:p>
    <w:p>
      <w:pPr>
        <w:pStyle w:val="4"/>
        <w:rPr>
          <w:rFonts w:cs="Times New Roman"/>
          <w:color w:val="000000" w:themeColor="text1"/>
          <w14:textFill>
            <w14:solidFill>
              <w14:schemeClr w14:val="tx1"/>
            </w14:solidFill>
          </w14:textFill>
        </w:rPr>
      </w:pPr>
      <w:bookmarkStart w:id="100" w:name="_Toc94185487"/>
      <w:r>
        <w:rPr>
          <w:rFonts w:cs="Times New Roman"/>
          <w:color w:val="000000" w:themeColor="text1"/>
          <w14:textFill>
            <w14:solidFill>
              <w14:schemeClr w14:val="tx1"/>
            </w14:solidFill>
          </w14:textFill>
        </w:rPr>
        <w:t>5.3.1一般工业固体废物</w:t>
      </w:r>
      <w:bookmarkEnd w:id="100"/>
    </w:p>
    <w:p>
      <w:pPr>
        <w:ind w:firstLine="480"/>
        <w:rPr>
          <w:rFonts w:cs="Times New Roman"/>
        </w:rPr>
      </w:pPr>
      <w:r>
        <w:rPr>
          <w:rFonts w:cs="Times New Roman"/>
        </w:rPr>
        <w:t>（1）产生、贮存、利用处置情况</w:t>
      </w:r>
    </w:p>
    <w:p>
      <w:pPr>
        <w:ind w:firstLine="480"/>
        <w:rPr>
          <w:rFonts w:cs="Times New Roman"/>
        </w:rPr>
      </w:pPr>
      <w:r>
        <w:t>曙光金铜矿在运营期产生的固体废物主要有尾矿</w:t>
      </w:r>
      <w:r>
        <w:rPr>
          <w:rFonts w:hint="eastAsia"/>
        </w:rPr>
        <w:t>砂</w:t>
      </w:r>
      <w:r>
        <w:t>、废石、锅炉炉渣</w:t>
      </w:r>
      <w:r>
        <w:rPr>
          <w:rFonts w:cs="Times New Roman"/>
        </w:rPr>
        <w:t>。</w:t>
      </w:r>
    </w:p>
    <w:p>
      <w:pPr>
        <w:ind w:firstLine="480"/>
        <w:rPr>
          <w:rFonts w:cs="Times New Roman"/>
        </w:rPr>
      </w:pPr>
      <w:r>
        <w:rPr>
          <w:rFonts w:cs="Times New Roman"/>
        </w:rPr>
        <w:t>202</w:t>
      </w:r>
      <w:r>
        <w:rPr>
          <w:rFonts w:hint="eastAsia" w:cs="Times New Roman"/>
        </w:rPr>
        <w:t>2</w:t>
      </w:r>
      <w:r>
        <w:rPr>
          <w:rFonts w:cs="Times New Roman"/>
        </w:rPr>
        <w:t>年</w:t>
      </w:r>
      <w:r>
        <w:rPr>
          <w:rFonts w:hint="eastAsia" w:cs="Times New Roman"/>
        </w:rPr>
        <w:t>曙光金铜矿</w:t>
      </w:r>
      <w:r>
        <w:rPr>
          <w:rFonts w:cs="Times New Roman"/>
        </w:rPr>
        <w:t>一般工业固体废物产生、贮存及处置情况见表5.3-1。</w:t>
      </w:r>
    </w:p>
    <w:p>
      <w:pPr>
        <w:ind w:firstLine="0" w:firstLineChars="0"/>
        <w:jc w:val="center"/>
        <w:rPr>
          <w:rFonts w:eastAsia="黑体" w:cs="Times New Roman"/>
        </w:rPr>
      </w:pPr>
      <w:r>
        <w:rPr>
          <w:rFonts w:eastAsia="黑体" w:cs="Times New Roman"/>
        </w:rPr>
        <w:t xml:space="preserve">表5.3-1 </w:t>
      </w:r>
      <w:r>
        <w:rPr>
          <w:rFonts w:hint="eastAsia" w:eastAsia="黑体" w:cs="Times New Roman"/>
        </w:rPr>
        <w:t xml:space="preserve"> </w:t>
      </w:r>
      <w:r>
        <w:rPr>
          <w:rFonts w:eastAsia="黑体" w:cs="Times New Roman"/>
        </w:rPr>
        <w:t>一般工业固体废物产生、贮存及处置量汇总表</w:t>
      </w:r>
    </w:p>
    <w:tbl>
      <w:tblPr>
        <w:tblStyle w:val="43"/>
        <w:tblW w:w="527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320"/>
        <w:gridCol w:w="456"/>
        <w:gridCol w:w="456"/>
        <w:gridCol w:w="1247"/>
        <w:gridCol w:w="824"/>
        <w:gridCol w:w="968"/>
        <w:gridCol w:w="1109"/>
        <w:gridCol w:w="808"/>
        <w:gridCol w:w="1104"/>
        <w:gridCol w:w="639"/>
        <w:gridCol w:w="8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82"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序号</w:t>
            </w:r>
          </w:p>
        </w:tc>
        <w:tc>
          <w:tcPr>
            <w:tcW w:w="259"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名称</w:t>
            </w:r>
          </w:p>
        </w:tc>
        <w:tc>
          <w:tcPr>
            <w:tcW w:w="259"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种类</w:t>
            </w:r>
          </w:p>
        </w:tc>
        <w:tc>
          <w:tcPr>
            <w:tcW w:w="708"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成分</w:t>
            </w:r>
          </w:p>
        </w:tc>
        <w:tc>
          <w:tcPr>
            <w:tcW w:w="468"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等级</w:t>
            </w:r>
          </w:p>
        </w:tc>
        <w:tc>
          <w:tcPr>
            <w:tcW w:w="550"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202</w:t>
            </w:r>
            <w:r>
              <w:rPr>
                <w:rFonts w:hint="eastAsia" w:eastAsia="宋体" w:cs="Times New Roman"/>
                <w:sz w:val="21"/>
                <w:szCs w:val="21"/>
              </w:rPr>
              <w:t>1</w:t>
            </w:r>
            <w:r>
              <w:rPr>
                <w:rFonts w:eastAsia="宋体" w:cs="Times New Roman"/>
                <w:sz w:val="21"/>
                <w:szCs w:val="21"/>
              </w:rPr>
              <w:t>年结存量（</w:t>
            </w:r>
            <w:r>
              <w:rPr>
                <w:rFonts w:hint="eastAsia" w:eastAsia="宋体" w:cs="Times New Roman"/>
                <w:sz w:val="21"/>
                <w:szCs w:val="21"/>
              </w:rPr>
              <w:t>万</w:t>
            </w:r>
            <w:r>
              <w:rPr>
                <w:rFonts w:eastAsia="宋体" w:cs="Times New Roman"/>
                <w:sz w:val="21"/>
                <w:szCs w:val="21"/>
              </w:rPr>
              <w:t>t）</w:t>
            </w:r>
          </w:p>
        </w:tc>
        <w:tc>
          <w:tcPr>
            <w:tcW w:w="630"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202</w:t>
            </w:r>
            <w:r>
              <w:rPr>
                <w:rFonts w:hint="eastAsia" w:eastAsia="宋体" w:cs="Times New Roman"/>
                <w:sz w:val="21"/>
                <w:szCs w:val="21"/>
              </w:rPr>
              <w:t>2</w:t>
            </w:r>
            <w:r>
              <w:rPr>
                <w:rFonts w:eastAsia="宋体" w:cs="Times New Roman"/>
                <w:sz w:val="21"/>
                <w:szCs w:val="21"/>
              </w:rPr>
              <w:t>年产生量</w:t>
            </w:r>
          </w:p>
          <w:p>
            <w:pPr>
              <w:snapToGrid w:val="0"/>
              <w:spacing w:line="240" w:lineRule="auto"/>
              <w:ind w:firstLine="0" w:firstLineChars="0"/>
              <w:jc w:val="center"/>
              <w:rPr>
                <w:rFonts w:eastAsia="宋体" w:cs="Times New Roman"/>
                <w:sz w:val="21"/>
                <w:szCs w:val="21"/>
              </w:rPr>
            </w:pPr>
            <w:r>
              <w:rPr>
                <w:rFonts w:eastAsia="宋体" w:cs="Times New Roman"/>
                <w:sz w:val="21"/>
                <w:szCs w:val="21"/>
              </w:rPr>
              <w:t>（</w:t>
            </w:r>
            <w:r>
              <w:rPr>
                <w:rFonts w:hint="eastAsia" w:eastAsia="宋体" w:cs="Times New Roman"/>
                <w:sz w:val="21"/>
                <w:szCs w:val="21"/>
              </w:rPr>
              <w:t>万</w:t>
            </w:r>
            <w:r>
              <w:rPr>
                <w:rFonts w:eastAsia="宋体" w:cs="Times New Roman"/>
                <w:sz w:val="21"/>
                <w:szCs w:val="21"/>
              </w:rPr>
              <w:t>t）</w:t>
            </w:r>
          </w:p>
        </w:tc>
        <w:tc>
          <w:tcPr>
            <w:tcW w:w="459" w:type="pct"/>
            <w:tcBorders>
              <w:right w:val="single" w:color="000000" w:sz="2" w:space="0"/>
            </w:tcBorders>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202</w:t>
            </w:r>
            <w:r>
              <w:rPr>
                <w:rFonts w:hint="eastAsia" w:eastAsia="宋体" w:cs="Times New Roman"/>
                <w:sz w:val="21"/>
                <w:szCs w:val="21"/>
              </w:rPr>
              <w:t>2</w:t>
            </w:r>
            <w:r>
              <w:rPr>
                <w:rFonts w:eastAsia="宋体" w:cs="Times New Roman"/>
                <w:sz w:val="21"/>
                <w:szCs w:val="21"/>
              </w:rPr>
              <w:t>年结存量（</w:t>
            </w:r>
            <w:r>
              <w:rPr>
                <w:rFonts w:hint="eastAsia" w:eastAsia="宋体" w:cs="Times New Roman"/>
                <w:sz w:val="21"/>
                <w:szCs w:val="21"/>
              </w:rPr>
              <w:t>万</w:t>
            </w:r>
            <w:r>
              <w:rPr>
                <w:rFonts w:eastAsia="宋体" w:cs="Times New Roman"/>
                <w:sz w:val="21"/>
                <w:szCs w:val="21"/>
              </w:rPr>
              <w:t>t）</w:t>
            </w:r>
          </w:p>
        </w:tc>
        <w:tc>
          <w:tcPr>
            <w:tcW w:w="627" w:type="pct"/>
            <w:tcBorders>
              <w:left w:val="single" w:color="000000" w:sz="2" w:space="0"/>
              <w:right w:val="single" w:color="000000" w:sz="2" w:space="0"/>
            </w:tcBorders>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202</w:t>
            </w:r>
            <w:r>
              <w:rPr>
                <w:rFonts w:hint="eastAsia" w:eastAsia="宋体" w:cs="Times New Roman"/>
                <w:sz w:val="21"/>
                <w:szCs w:val="21"/>
              </w:rPr>
              <w:t>2</w:t>
            </w:r>
            <w:r>
              <w:rPr>
                <w:rFonts w:eastAsia="宋体" w:cs="Times New Roman"/>
                <w:sz w:val="21"/>
                <w:szCs w:val="21"/>
              </w:rPr>
              <w:t>年利用处置量（</w:t>
            </w:r>
            <w:r>
              <w:rPr>
                <w:rFonts w:hint="eastAsia" w:eastAsia="宋体" w:cs="Times New Roman"/>
                <w:sz w:val="21"/>
                <w:szCs w:val="21"/>
              </w:rPr>
              <w:t>万</w:t>
            </w:r>
            <w:r>
              <w:rPr>
                <w:rFonts w:eastAsia="宋体" w:cs="Times New Roman"/>
                <w:sz w:val="21"/>
                <w:szCs w:val="21"/>
              </w:rPr>
              <w:t>t）</w:t>
            </w:r>
          </w:p>
        </w:tc>
        <w:tc>
          <w:tcPr>
            <w:tcW w:w="363" w:type="pct"/>
            <w:tcBorders>
              <w:left w:val="single" w:color="000000" w:sz="2" w:space="0"/>
              <w:right w:val="single" w:color="000000" w:sz="2" w:space="0"/>
            </w:tcBorders>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利用处置方式</w:t>
            </w:r>
          </w:p>
        </w:tc>
        <w:tc>
          <w:tcPr>
            <w:tcW w:w="495" w:type="pct"/>
            <w:tcBorders>
              <w:left w:val="single" w:color="000000" w:sz="2" w:space="0"/>
            </w:tcBorders>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82" w:type="pct"/>
            <w:vMerge w:val="restar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1</w:t>
            </w:r>
          </w:p>
        </w:tc>
        <w:tc>
          <w:tcPr>
            <w:tcW w:w="259" w:type="pct"/>
            <w:vMerge w:val="restart"/>
            <w:vAlign w:val="center"/>
          </w:tcPr>
          <w:p>
            <w:pPr>
              <w:widowControl/>
              <w:snapToGrid w:val="0"/>
              <w:spacing w:line="240" w:lineRule="auto"/>
              <w:ind w:firstLine="0" w:firstLineChars="0"/>
              <w:jc w:val="center"/>
              <w:rPr>
                <w:rFonts w:eastAsia="宋体" w:cs="Times New Roman"/>
                <w:sz w:val="21"/>
                <w:szCs w:val="21"/>
              </w:rPr>
            </w:pPr>
            <w:r>
              <w:rPr>
                <w:rFonts w:eastAsia="宋体" w:cs="Times New Roman"/>
                <w:sz w:val="21"/>
                <w:szCs w:val="21"/>
              </w:rPr>
              <w:t>采矿废石</w:t>
            </w:r>
          </w:p>
        </w:tc>
        <w:tc>
          <w:tcPr>
            <w:tcW w:w="259" w:type="pct"/>
            <w:vMerge w:val="restar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采矿废石</w:t>
            </w:r>
          </w:p>
        </w:tc>
        <w:tc>
          <w:tcPr>
            <w:tcW w:w="708" w:type="pct"/>
            <w:vMerge w:val="restar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石英、长石、方解石、绿泥石、绢云母、磁黄铁矿石、黄铁矿石、褐铁矿石等</w:t>
            </w:r>
          </w:p>
        </w:tc>
        <w:tc>
          <w:tcPr>
            <w:tcW w:w="468" w:type="pct"/>
            <w:vMerge w:val="restar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第I类</w:t>
            </w:r>
          </w:p>
        </w:tc>
        <w:tc>
          <w:tcPr>
            <w:tcW w:w="550" w:type="pct"/>
            <w:vMerge w:val="restar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0</w:t>
            </w:r>
          </w:p>
        </w:tc>
        <w:tc>
          <w:tcPr>
            <w:tcW w:w="630" w:type="pct"/>
            <w:vMerge w:val="restart"/>
            <w:vAlign w:val="center"/>
          </w:tcPr>
          <w:p>
            <w:pPr>
              <w:snapToGrid w:val="0"/>
              <w:spacing w:line="240" w:lineRule="auto"/>
              <w:ind w:firstLine="0" w:firstLineChars="0"/>
              <w:jc w:val="center"/>
              <w:rPr>
                <w:rFonts w:eastAsia="宋体" w:cs="Times New Roman"/>
                <w:sz w:val="21"/>
                <w:szCs w:val="21"/>
              </w:rPr>
            </w:pPr>
            <w:r>
              <w:rPr>
                <w:rFonts w:hint="eastAsia" w:eastAsia="宋体" w:cs="Times New Roman"/>
                <w:sz w:val="21"/>
                <w:szCs w:val="21"/>
              </w:rPr>
              <w:t>284.04</w:t>
            </w:r>
          </w:p>
        </w:tc>
        <w:tc>
          <w:tcPr>
            <w:tcW w:w="459" w:type="pct"/>
            <w:vMerge w:val="restart"/>
            <w:tcBorders>
              <w:right w:val="single" w:color="000000" w:sz="2" w:space="0"/>
            </w:tcBorders>
            <w:vAlign w:val="center"/>
          </w:tcPr>
          <w:p>
            <w:pPr>
              <w:snapToGrid w:val="0"/>
              <w:spacing w:line="240" w:lineRule="auto"/>
              <w:ind w:firstLine="0" w:firstLineChars="0"/>
              <w:jc w:val="center"/>
              <w:rPr>
                <w:rFonts w:eastAsia="宋体" w:cs="Times New Roman"/>
                <w:sz w:val="21"/>
                <w:szCs w:val="21"/>
              </w:rPr>
            </w:pPr>
            <w:r>
              <w:rPr>
                <w:rFonts w:hint="eastAsia" w:eastAsia="宋体" w:cs="Times New Roman"/>
                <w:sz w:val="21"/>
                <w:szCs w:val="21"/>
              </w:rPr>
              <w:t>0</w:t>
            </w:r>
          </w:p>
        </w:tc>
        <w:tc>
          <w:tcPr>
            <w:tcW w:w="627" w:type="pct"/>
            <w:tcBorders>
              <w:left w:val="single" w:color="000000" w:sz="2" w:space="0"/>
              <w:right w:val="single" w:color="000000" w:sz="2" w:space="0"/>
            </w:tcBorders>
            <w:vAlign w:val="center"/>
          </w:tcPr>
          <w:p>
            <w:pPr>
              <w:snapToGrid w:val="0"/>
              <w:spacing w:line="240" w:lineRule="auto"/>
              <w:ind w:firstLine="0" w:firstLineChars="0"/>
              <w:jc w:val="center"/>
              <w:rPr>
                <w:rFonts w:eastAsia="宋体" w:cs="Times New Roman"/>
                <w:sz w:val="21"/>
                <w:szCs w:val="21"/>
              </w:rPr>
            </w:pPr>
            <w:r>
              <w:rPr>
                <w:rFonts w:hint="eastAsia" w:eastAsia="宋体" w:cs="Times New Roman"/>
                <w:sz w:val="21"/>
                <w:szCs w:val="21"/>
              </w:rPr>
              <w:t>276.11</w:t>
            </w:r>
          </w:p>
        </w:tc>
        <w:tc>
          <w:tcPr>
            <w:tcW w:w="363" w:type="pct"/>
            <w:tcBorders>
              <w:left w:val="single" w:color="000000" w:sz="2" w:space="0"/>
              <w:right w:val="single" w:color="000000" w:sz="2" w:space="0"/>
            </w:tcBorders>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自行贮存</w:t>
            </w:r>
          </w:p>
        </w:tc>
        <w:tc>
          <w:tcPr>
            <w:tcW w:w="495" w:type="pct"/>
            <w:tcBorders>
              <w:left w:val="single" w:color="000000" w:sz="2" w:space="0"/>
            </w:tcBorders>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排土场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82" w:type="pct"/>
            <w:vMerge w:val="continue"/>
            <w:vAlign w:val="center"/>
          </w:tcPr>
          <w:p>
            <w:pPr>
              <w:snapToGrid w:val="0"/>
              <w:spacing w:line="240" w:lineRule="auto"/>
              <w:ind w:firstLine="0" w:firstLineChars="0"/>
              <w:jc w:val="center"/>
              <w:rPr>
                <w:rFonts w:eastAsia="宋体" w:cs="Times New Roman"/>
                <w:sz w:val="21"/>
                <w:szCs w:val="21"/>
              </w:rPr>
            </w:pPr>
          </w:p>
        </w:tc>
        <w:tc>
          <w:tcPr>
            <w:tcW w:w="259" w:type="pct"/>
            <w:vMerge w:val="continue"/>
            <w:vAlign w:val="center"/>
          </w:tcPr>
          <w:p>
            <w:pPr>
              <w:widowControl/>
              <w:snapToGrid w:val="0"/>
              <w:spacing w:line="240" w:lineRule="auto"/>
              <w:ind w:firstLine="0" w:firstLineChars="0"/>
              <w:jc w:val="center"/>
              <w:rPr>
                <w:rFonts w:eastAsia="宋体" w:cs="Times New Roman"/>
                <w:sz w:val="21"/>
                <w:szCs w:val="21"/>
              </w:rPr>
            </w:pPr>
          </w:p>
        </w:tc>
        <w:tc>
          <w:tcPr>
            <w:tcW w:w="259" w:type="pct"/>
            <w:vMerge w:val="continue"/>
            <w:vAlign w:val="center"/>
          </w:tcPr>
          <w:p>
            <w:pPr>
              <w:snapToGrid w:val="0"/>
              <w:spacing w:line="240" w:lineRule="auto"/>
              <w:ind w:firstLine="0" w:firstLineChars="0"/>
              <w:jc w:val="center"/>
              <w:rPr>
                <w:rFonts w:eastAsia="宋体" w:cs="Times New Roman"/>
                <w:sz w:val="21"/>
                <w:szCs w:val="21"/>
              </w:rPr>
            </w:pPr>
          </w:p>
        </w:tc>
        <w:tc>
          <w:tcPr>
            <w:tcW w:w="708" w:type="pct"/>
            <w:vMerge w:val="continue"/>
            <w:vAlign w:val="center"/>
          </w:tcPr>
          <w:p>
            <w:pPr>
              <w:snapToGrid w:val="0"/>
              <w:spacing w:line="240" w:lineRule="auto"/>
              <w:ind w:firstLine="0" w:firstLineChars="0"/>
              <w:jc w:val="center"/>
              <w:rPr>
                <w:rFonts w:eastAsia="宋体" w:cs="Times New Roman"/>
                <w:sz w:val="21"/>
                <w:szCs w:val="21"/>
              </w:rPr>
            </w:pPr>
          </w:p>
        </w:tc>
        <w:tc>
          <w:tcPr>
            <w:tcW w:w="468" w:type="pct"/>
            <w:vMerge w:val="continue"/>
            <w:vAlign w:val="center"/>
          </w:tcPr>
          <w:p>
            <w:pPr>
              <w:snapToGrid w:val="0"/>
              <w:spacing w:line="240" w:lineRule="auto"/>
              <w:ind w:firstLine="0" w:firstLineChars="0"/>
              <w:jc w:val="center"/>
              <w:rPr>
                <w:rFonts w:eastAsia="宋体" w:cs="Times New Roman"/>
                <w:sz w:val="21"/>
                <w:szCs w:val="21"/>
              </w:rPr>
            </w:pPr>
          </w:p>
        </w:tc>
        <w:tc>
          <w:tcPr>
            <w:tcW w:w="550" w:type="pct"/>
            <w:vMerge w:val="continue"/>
            <w:vAlign w:val="center"/>
          </w:tcPr>
          <w:p>
            <w:pPr>
              <w:snapToGrid w:val="0"/>
              <w:spacing w:line="240" w:lineRule="auto"/>
              <w:ind w:firstLine="0" w:firstLineChars="0"/>
              <w:jc w:val="center"/>
              <w:rPr>
                <w:rFonts w:eastAsia="宋体" w:cs="Times New Roman"/>
                <w:sz w:val="21"/>
                <w:szCs w:val="21"/>
              </w:rPr>
            </w:pPr>
          </w:p>
        </w:tc>
        <w:tc>
          <w:tcPr>
            <w:tcW w:w="630" w:type="pct"/>
            <w:vMerge w:val="continue"/>
            <w:vAlign w:val="center"/>
          </w:tcPr>
          <w:p>
            <w:pPr>
              <w:snapToGrid w:val="0"/>
              <w:spacing w:line="240" w:lineRule="auto"/>
              <w:ind w:firstLine="0" w:firstLineChars="0"/>
              <w:jc w:val="center"/>
              <w:rPr>
                <w:rFonts w:eastAsia="宋体" w:cs="Times New Roman"/>
                <w:sz w:val="21"/>
                <w:szCs w:val="21"/>
              </w:rPr>
            </w:pPr>
          </w:p>
        </w:tc>
        <w:tc>
          <w:tcPr>
            <w:tcW w:w="459" w:type="pct"/>
            <w:vMerge w:val="continue"/>
            <w:tcBorders>
              <w:right w:val="single" w:color="000000" w:sz="2" w:space="0"/>
            </w:tcBorders>
            <w:vAlign w:val="center"/>
          </w:tcPr>
          <w:p>
            <w:pPr>
              <w:snapToGrid w:val="0"/>
              <w:spacing w:line="240" w:lineRule="auto"/>
              <w:ind w:firstLine="0" w:firstLineChars="0"/>
              <w:jc w:val="center"/>
              <w:rPr>
                <w:rFonts w:eastAsia="宋体" w:cs="Times New Roman"/>
                <w:sz w:val="21"/>
                <w:szCs w:val="21"/>
              </w:rPr>
            </w:pPr>
          </w:p>
        </w:tc>
        <w:tc>
          <w:tcPr>
            <w:tcW w:w="627" w:type="pct"/>
            <w:tcBorders>
              <w:left w:val="single" w:color="000000" w:sz="2" w:space="0"/>
              <w:right w:val="single" w:color="000000" w:sz="2" w:space="0"/>
            </w:tcBorders>
            <w:vAlign w:val="center"/>
          </w:tcPr>
          <w:p>
            <w:pPr>
              <w:snapToGrid w:val="0"/>
              <w:spacing w:line="240" w:lineRule="auto"/>
              <w:ind w:firstLine="0" w:firstLineChars="0"/>
              <w:jc w:val="center"/>
              <w:rPr>
                <w:rFonts w:eastAsia="宋体" w:cs="Times New Roman"/>
                <w:sz w:val="21"/>
                <w:szCs w:val="21"/>
              </w:rPr>
            </w:pPr>
            <w:r>
              <w:rPr>
                <w:rFonts w:hint="eastAsia" w:eastAsia="宋体" w:cs="Times New Roman"/>
                <w:sz w:val="21"/>
                <w:szCs w:val="21"/>
              </w:rPr>
              <w:t>7.93</w:t>
            </w:r>
          </w:p>
        </w:tc>
        <w:tc>
          <w:tcPr>
            <w:tcW w:w="363" w:type="pct"/>
            <w:tcBorders>
              <w:left w:val="single" w:color="000000" w:sz="2" w:space="0"/>
              <w:right w:val="single" w:color="000000" w:sz="2" w:space="0"/>
            </w:tcBorders>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委托利用</w:t>
            </w:r>
          </w:p>
        </w:tc>
        <w:tc>
          <w:tcPr>
            <w:tcW w:w="495" w:type="pct"/>
            <w:tcBorders>
              <w:left w:val="single" w:color="000000" w:sz="2" w:space="0"/>
            </w:tcBorders>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珲春森林山新型建材有限公司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82"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2</w:t>
            </w:r>
          </w:p>
        </w:tc>
        <w:tc>
          <w:tcPr>
            <w:tcW w:w="259" w:type="pct"/>
            <w:vAlign w:val="center"/>
          </w:tcPr>
          <w:p>
            <w:pPr>
              <w:widowControl/>
              <w:snapToGrid w:val="0"/>
              <w:spacing w:line="240" w:lineRule="auto"/>
              <w:ind w:firstLine="0" w:firstLineChars="0"/>
              <w:jc w:val="center"/>
              <w:rPr>
                <w:rFonts w:eastAsia="宋体" w:cs="Times New Roman"/>
                <w:sz w:val="21"/>
                <w:szCs w:val="21"/>
              </w:rPr>
            </w:pPr>
            <w:r>
              <w:rPr>
                <w:rFonts w:eastAsia="宋体" w:cs="Times New Roman"/>
                <w:sz w:val="21"/>
                <w:szCs w:val="21"/>
              </w:rPr>
              <w:t>尾矿砂</w:t>
            </w:r>
          </w:p>
        </w:tc>
        <w:tc>
          <w:tcPr>
            <w:tcW w:w="259"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选矿厂尾矿</w:t>
            </w:r>
          </w:p>
        </w:tc>
        <w:tc>
          <w:tcPr>
            <w:tcW w:w="708" w:type="pct"/>
            <w:vAlign w:val="center"/>
          </w:tcPr>
          <w:p>
            <w:pPr>
              <w:snapToGrid w:val="0"/>
              <w:spacing w:line="240" w:lineRule="auto"/>
              <w:ind w:firstLine="0" w:firstLineChars="0"/>
              <w:jc w:val="center"/>
              <w:rPr>
                <w:rFonts w:eastAsia="宋体" w:cs="Times New Roman"/>
                <w:sz w:val="21"/>
                <w:szCs w:val="21"/>
              </w:rPr>
            </w:pPr>
            <w:r>
              <w:rPr>
                <w:rFonts w:eastAsia="宋体" w:cs="Times New Roman"/>
                <w:color w:val="000000"/>
                <w:sz w:val="21"/>
                <w:szCs w:val="21"/>
              </w:rPr>
              <w:t>二氧化硅、碳酸钙、二硫化铁及其他硫化物</w:t>
            </w:r>
          </w:p>
        </w:tc>
        <w:tc>
          <w:tcPr>
            <w:tcW w:w="468"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第I类</w:t>
            </w:r>
          </w:p>
        </w:tc>
        <w:tc>
          <w:tcPr>
            <w:tcW w:w="550"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0</w:t>
            </w:r>
          </w:p>
        </w:tc>
        <w:tc>
          <w:tcPr>
            <w:tcW w:w="630" w:type="pct"/>
            <w:vAlign w:val="center"/>
          </w:tcPr>
          <w:p>
            <w:pPr>
              <w:snapToGrid w:val="0"/>
              <w:spacing w:line="240" w:lineRule="auto"/>
              <w:ind w:firstLine="0" w:firstLineChars="0"/>
              <w:jc w:val="center"/>
              <w:rPr>
                <w:rFonts w:eastAsia="宋体" w:cs="Times New Roman"/>
                <w:sz w:val="21"/>
                <w:szCs w:val="21"/>
              </w:rPr>
            </w:pPr>
            <w:r>
              <w:rPr>
                <w:rFonts w:hint="eastAsia" w:eastAsia="宋体" w:cs="Times New Roman"/>
                <w:sz w:val="21"/>
                <w:szCs w:val="21"/>
              </w:rPr>
              <w:t>1001.91945</w:t>
            </w:r>
          </w:p>
        </w:tc>
        <w:tc>
          <w:tcPr>
            <w:tcW w:w="459" w:type="pct"/>
            <w:tcBorders>
              <w:right w:val="single" w:color="000000" w:sz="2" w:space="0"/>
            </w:tcBorders>
            <w:vAlign w:val="center"/>
          </w:tcPr>
          <w:p>
            <w:pPr>
              <w:snapToGrid w:val="0"/>
              <w:spacing w:line="240" w:lineRule="auto"/>
              <w:ind w:firstLine="0" w:firstLineChars="0"/>
              <w:jc w:val="center"/>
              <w:rPr>
                <w:rFonts w:eastAsia="宋体" w:cs="Times New Roman"/>
                <w:sz w:val="21"/>
                <w:szCs w:val="21"/>
              </w:rPr>
            </w:pPr>
            <w:r>
              <w:rPr>
                <w:rFonts w:hint="eastAsia" w:eastAsia="宋体" w:cs="Times New Roman"/>
                <w:sz w:val="21"/>
                <w:szCs w:val="21"/>
              </w:rPr>
              <w:t>0</w:t>
            </w:r>
          </w:p>
        </w:tc>
        <w:tc>
          <w:tcPr>
            <w:tcW w:w="627" w:type="pct"/>
            <w:tcBorders>
              <w:left w:val="single" w:color="000000" w:sz="2" w:space="0"/>
              <w:right w:val="single" w:color="000000" w:sz="2" w:space="0"/>
            </w:tcBorders>
            <w:vAlign w:val="center"/>
          </w:tcPr>
          <w:p>
            <w:pPr>
              <w:snapToGrid w:val="0"/>
              <w:spacing w:line="240" w:lineRule="auto"/>
              <w:ind w:firstLine="0" w:firstLineChars="0"/>
              <w:jc w:val="center"/>
              <w:rPr>
                <w:rFonts w:eastAsia="宋体" w:cs="Times New Roman"/>
                <w:sz w:val="21"/>
                <w:szCs w:val="21"/>
              </w:rPr>
            </w:pPr>
            <w:r>
              <w:rPr>
                <w:rFonts w:hint="eastAsia" w:eastAsia="宋体" w:cs="Times New Roman"/>
                <w:sz w:val="21"/>
                <w:szCs w:val="21"/>
              </w:rPr>
              <w:t>1001.91945</w:t>
            </w:r>
          </w:p>
        </w:tc>
        <w:tc>
          <w:tcPr>
            <w:tcW w:w="363" w:type="pct"/>
            <w:tcBorders>
              <w:left w:val="single" w:color="000000" w:sz="2" w:space="0"/>
              <w:right w:val="single" w:color="000000" w:sz="2" w:space="0"/>
            </w:tcBorders>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自行贮存</w:t>
            </w:r>
          </w:p>
        </w:tc>
        <w:tc>
          <w:tcPr>
            <w:tcW w:w="495" w:type="pct"/>
            <w:tcBorders>
              <w:left w:val="single" w:color="000000" w:sz="2" w:space="0"/>
            </w:tcBorders>
            <w:vAlign w:val="center"/>
          </w:tcPr>
          <w:p>
            <w:pPr>
              <w:snapToGrid w:val="0"/>
              <w:spacing w:line="240" w:lineRule="auto"/>
              <w:ind w:firstLine="0" w:firstLineChars="0"/>
              <w:jc w:val="center"/>
              <w:rPr>
                <w:rFonts w:eastAsia="宋体" w:cs="Times New Roman"/>
                <w:color w:val="0000FF"/>
                <w:sz w:val="21"/>
                <w:szCs w:val="21"/>
              </w:rPr>
            </w:pPr>
            <w:r>
              <w:rPr>
                <w:rFonts w:eastAsia="宋体" w:cs="Times New Roman"/>
                <w:sz w:val="21"/>
                <w:szCs w:val="21"/>
              </w:rPr>
              <w:t>尾矿库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37" w:hRule="atLeast"/>
          <w:jc w:val="center"/>
        </w:trPr>
        <w:tc>
          <w:tcPr>
            <w:tcW w:w="182" w:type="pct"/>
            <w:vMerge w:val="restar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3</w:t>
            </w:r>
          </w:p>
        </w:tc>
        <w:tc>
          <w:tcPr>
            <w:tcW w:w="259" w:type="pct"/>
            <w:vMerge w:val="restart"/>
            <w:vAlign w:val="center"/>
          </w:tcPr>
          <w:p>
            <w:pPr>
              <w:widowControl/>
              <w:snapToGrid w:val="0"/>
              <w:spacing w:line="240" w:lineRule="auto"/>
              <w:ind w:firstLine="0" w:firstLineChars="0"/>
              <w:jc w:val="center"/>
              <w:rPr>
                <w:rFonts w:eastAsia="宋体" w:cs="Times New Roman"/>
                <w:sz w:val="21"/>
                <w:szCs w:val="21"/>
              </w:rPr>
            </w:pPr>
            <w:r>
              <w:rPr>
                <w:rFonts w:eastAsia="宋体" w:cs="Times New Roman"/>
                <w:sz w:val="21"/>
                <w:szCs w:val="21"/>
              </w:rPr>
              <w:t>炉渣</w:t>
            </w:r>
          </w:p>
        </w:tc>
        <w:tc>
          <w:tcPr>
            <w:tcW w:w="259" w:type="pct"/>
            <w:vMerge w:val="restar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锅炉炉渣</w:t>
            </w:r>
          </w:p>
        </w:tc>
        <w:tc>
          <w:tcPr>
            <w:tcW w:w="708" w:type="pct"/>
            <w:vMerge w:val="restar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二氧化硅、氧化铝、氧化钙、氧化亚铁等</w:t>
            </w:r>
          </w:p>
        </w:tc>
        <w:tc>
          <w:tcPr>
            <w:tcW w:w="468" w:type="pct"/>
            <w:vMerge w:val="restar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第</w:t>
            </w:r>
            <w:r>
              <w:rPr>
                <w:rFonts w:hint="eastAsia" w:ascii="宋体" w:hAnsi="宋体" w:eastAsia="宋体" w:cs="宋体"/>
                <w:sz w:val="21"/>
                <w:szCs w:val="21"/>
              </w:rPr>
              <w:t>Ⅱ</w:t>
            </w:r>
            <w:r>
              <w:rPr>
                <w:rFonts w:eastAsia="宋体" w:cs="Times New Roman"/>
                <w:sz w:val="21"/>
                <w:szCs w:val="21"/>
              </w:rPr>
              <w:t>类</w:t>
            </w:r>
          </w:p>
        </w:tc>
        <w:tc>
          <w:tcPr>
            <w:tcW w:w="550" w:type="pct"/>
            <w:vMerge w:val="restar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0</w:t>
            </w:r>
          </w:p>
        </w:tc>
        <w:tc>
          <w:tcPr>
            <w:tcW w:w="630" w:type="pct"/>
            <w:vMerge w:val="restart"/>
            <w:vAlign w:val="center"/>
          </w:tcPr>
          <w:p>
            <w:pPr>
              <w:snapToGrid w:val="0"/>
              <w:spacing w:line="240" w:lineRule="auto"/>
              <w:ind w:firstLine="0" w:firstLineChars="0"/>
              <w:jc w:val="center"/>
              <w:rPr>
                <w:rFonts w:eastAsia="宋体" w:cs="Times New Roman"/>
                <w:sz w:val="21"/>
                <w:szCs w:val="21"/>
              </w:rPr>
            </w:pPr>
            <w:r>
              <w:rPr>
                <w:rFonts w:hint="eastAsia" w:eastAsia="宋体" w:cs="Times New Roman"/>
                <w:sz w:val="21"/>
                <w:szCs w:val="21"/>
              </w:rPr>
              <w:t>0.64</w:t>
            </w:r>
            <w:r>
              <w:rPr>
                <w:rFonts w:eastAsia="宋体" w:cs="Times New Roman"/>
                <w:sz w:val="21"/>
                <w:szCs w:val="21"/>
              </w:rPr>
              <w:t>2916</w:t>
            </w:r>
          </w:p>
        </w:tc>
        <w:tc>
          <w:tcPr>
            <w:tcW w:w="459" w:type="pct"/>
            <w:vMerge w:val="restart"/>
            <w:tcBorders>
              <w:right w:val="single" w:color="000000" w:sz="2" w:space="0"/>
            </w:tcBorders>
            <w:vAlign w:val="center"/>
          </w:tcPr>
          <w:p>
            <w:pPr>
              <w:snapToGrid w:val="0"/>
              <w:spacing w:line="240" w:lineRule="auto"/>
              <w:ind w:firstLine="0" w:firstLineChars="0"/>
              <w:jc w:val="center"/>
              <w:rPr>
                <w:rFonts w:eastAsia="宋体" w:cs="Times New Roman"/>
                <w:sz w:val="21"/>
                <w:szCs w:val="21"/>
              </w:rPr>
            </w:pPr>
            <w:r>
              <w:rPr>
                <w:rFonts w:hint="eastAsia" w:eastAsia="宋体" w:cs="Times New Roman"/>
                <w:sz w:val="21"/>
                <w:szCs w:val="21"/>
              </w:rPr>
              <w:t>0</w:t>
            </w:r>
          </w:p>
        </w:tc>
        <w:tc>
          <w:tcPr>
            <w:tcW w:w="627" w:type="pct"/>
            <w:tcBorders>
              <w:left w:val="single" w:color="000000" w:sz="2" w:space="0"/>
              <w:right w:val="single" w:color="000000" w:sz="2" w:space="0"/>
            </w:tcBorders>
            <w:vAlign w:val="center"/>
          </w:tcPr>
          <w:p>
            <w:pPr>
              <w:snapToGrid w:val="0"/>
              <w:spacing w:line="240" w:lineRule="auto"/>
              <w:ind w:firstLine="0" w:firstLineChars="0"/>
              <w:jc w:val="center"/>
              <w:rPr>
                <w:rFonts w:eastAsia="宋体" w:cs="Times New Roman"/>
                <w:sz w:val="21"/>
                <w:szCs w:val="21"/>
              </w:rPr>
            </w:pPr>
            <w:r>
              <w:rPr>
                <w:rFonts w:hint="eastAsia" w:eastAsia="宋体" w:cs="Times New Roman"/>
                <w:sz w:val="21"/>
                <w:szCs w:val="21"/>
              </w:rPr>
              <w:t>0.21</w:t>
            </w:r>
          </w:p>
        </w:tc>
        <w:tc>
          <w:tcPr>
            <w:tcW w:w="363" w:type="pct"/>
            <w:tcBorders>
              <w:left w:val="single" w:color="000000" w:sz="2" w:space="0"/>
              <w:right w:val="single" w:color="000000" w:sz="2" w:space="0"/>
            </w:tcBorders>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自行利用</w:t>
            </w:r>
          </w:p>
        </w:tc>
        <w:tc>
          <w:tcPr>
            <w:tcW w:w="495" w:type="pct"/>
            <w:tcBorders>
              <w:left w:val="single" w:color="000000" w:sz="2" w:space="0"/>
            </w:tcBorders>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36" w:hRule="atLeast"/>
          <w:jc w:val="center"/>
        </w:trPr>
        <w:tc>
          <w:tcPr>
            <w:tcW w:w="182" w:type="pct"/>
            <w:vMerge w:val="continue"/>
            <w:vAlign w:val="center"/>
          </w:tcPr>
          <w:p>
            <w:pPr>
              <w:snapToGrid w:val="0"/>
              <w:spacing w:line="240" w:lineRule="auto"/>
              <w:ind w:firstLine="0" w:firstLineChars="0"/>
              <w:jc w:val="center"/>
              <w:rPr>
                <w:rFonts w:eastAsia="宋体" w:cs="Times New Roman"/>
                <w:sz w:val="21"/>
                <w:szCs w:val="21"/>
              </w:rPr>
            </w:pPr>
          </w:p>
        </w:tc>
        <w:tc>
          <w:tcPr>
            <w:tcW w:w="259" w:type="pct"/>
            <w:vMerge w:val="continue"/>
            <w:vAlign w:val="center"/>
          </w:tcPr>
          <w:p>
            <w:pPr>
              <w:widowControl/>
              <w:snapToGrid w:val="0"/>
              <w:spacing w:line="240" w:lineRule="auto"/>
              <w:ind w:firstLine="0" w:firstLineChars="0"/>
              <w:jc w:val="center"/>
              <w:rPr>
                <w:rFonts w:eastAsia="宋体" w:cs="Times New Roman"/>
                <w:sz w:val="21"/>
                <w:szCs w:val="21"/>
              </w:rPr>
            </w:pPr>
          </w:p>
        </w:tc>
        <w:tc>
          <w:tcPr>
            <w:tcW w:w="259" w:type="pct"/>
            <w:vMerge w:val="continue"/>
            <w:vAlign w:val="center"/>
          </w:tcPr>
          <w:p>
            <w:pPr>
              <w:snapToGrid w:val="0"/>
              <w:spacing w:line="240" w:lineRule="auto"/>
              <w:ind w:firstLine="0" w:firstLineChars="0"/>
              <w:jc w:val="center"/>
              <w:rPr>
                <w:rFonts w:eastAsia="宋体" w:cs="Times New Roman"/>
                <w:sz w:val="21"/>
                <w:szCs w:val="21"/>
              </w:rPr>
            </w:pPr>
          </w:p>
        </w:tc>
        <w:tc>
          <w:tcPr>
            <w:tcW w:w="708" w:type="pct"/>
            <w:vMerge w:val="continue"/>
            <w:vAlign w:val="center"/>
          </w:tcPr>
          <w:p>
            <w:pPr>
              <w:snapToGrid w:val="0"/>
              <w:spacing w:line="240" w:lineRule="auto"/>
              <w:ind w:firstLine="0" w:firstLineChars="0"/>
              <w:jc w:val="center"/>
              <w:rPr>
                <w:rFonts w:eastAsia="宋体" w:cs="Times New Roman"/>
                <w:sz w:val="21"/>
                <w:szCs w:val="21"/>
              </w:rPr>
            </w:pPr>
          </w:p>
        </w:tc>
        <w:tc>
          <w:tcPr>
            <w:tcW w:w="468" w:type="pct"/>
            <w:vMerge w:val="continue"/>
            <w:vAlign w:val="center"/>
          </w:tcPr>
          <w:p>
            <w:pPr>
              <w:snapToGrid w:val="0"/>
              <w:spacing w:line="240" w:lineRule="auto"/>
              <w:ind w:firstLine="0" w:firstLineChars="0"/>
              <w:jc w:val="center"/>
              <w:rPr>
                <w:rFonts w:eastAsia="宋体" w:cs="Times New Roman"/>
                <w:sz w:val="21"/>
                <w:szCs w:val="21"/>
              </w:rPr>
            </w:pPr>
          </w:p>
        </w:tc>
        <w:tc>
          <w:tcPr>
            <w:tcW w:w="550" w:type="pct"/>
            <w:vMerge w:val="continue"/>
            <w:vAlign w:val="center"/>
          </w:tcPr>
          <w:p>
            <w:pPr>
              <w:snapToGrid w:val="0"/>
              <w:spacing w:line="240" w:lineRule="auto"/>
              <w:ind w:firstLine="0" w:firstLineChars="0"/>
              <w:jc w:val="center"/>
              <w:rPr>
                <w:rFonts w:eastAsia="宋体" w:cs="Times New Roman"/>
                <w:sz w:val="21"/>
                <w:szCs w:val="21"/>
              </w:rPr>
            </w:pPr>
          </w:p>
        </w:tc>
        <w:tc>
          <w:tcPr>
            <w:tcW w:w="630" w:type="pct"/>
            <w:vMerge w:val="continue"/>
            <w:vAlign w:val="center"/>
          </w:tcPr>
          <w:p>
            <w:pPr>
              <w:snapToGrid w:val="0"/>
              <w:spacing w:line="240" w:lineRule="auto"/>
              <w:ind w:firstLine="0" w:firstLineChars="0"/>
              <w:jc w:val="center"/>
              <w:rPr>
                <w:rFonts w:eastAsia="宋体" w:cs="Times New Roman"/>
                <w:sz w:val="21"/>
                <w:szCs w:val="21"/>
              </w:rPr>
            </w:pPr>
          </w:p>
        </w:tc>
        <w:tc>
          <w:tcPr>
            <w:tcW w:w="459" w:type="pct"/>
            <w:vMerge w:val="continue"/>
            <w:tcBorders>
              <w:right w:val="single" w:color="000000" w:sz="2" w:space="0"/>
            </w:tcBorders>
            <w:vAlign w:val="center"/>
          </w:tcPr>
          <w:p>
            <w:pPr>
              <w:snapToGrid w:val="0"/>
              <w:spacing w:line="240" w:lineRule="auto"/>
              <w:ind w:firstLine="0" w:firstLineChars="0"/>
              <w:jc w:val="center"/>
              <w:rPr>
                <w:rFonts w:eastAsia="宋体" w:cs="Times New Roman"/>
                <w:sz w:val="21"/>
                <w:szCs w:val="21"/>
              </w:rPr>
            </w:pPr>
          </w:p>
        </w:tc>
        <w:tc>
          <w:tcPr>
            <w:tcW w:w="627" w:type="pct"/>
            <w:tcBorders>
              <w:left w:val="single" w:color="000000" w:sz="2" w:space="0"/>
              <w:right w:val="single" w:color="000000" w:sz="2" w:space="0"/>
            </w:tcBorders>
            <w:vAlign w:val="center"/>
          </w:tcPr>
          <w:p>
            <w:pPr>
              <w:snapToGrid w:val="0"/>
              <w:spacing w:line="240" w:lineRule="auto"/>
              <w:ind w:firstLine="0" w:firstLineChars="0"/>
              <w:jc w:val="center"/>
              <w:rPr>
                <w:rFonts w:eastAsia="宋体" w:cs="Times New Roman"/>
                <w:sz w:val="21"/>
                <w:szCs w:val="21"/>
              </w:rPr>
            </w:pPr>
            <w:r>
              <w:rPr>
                <w:rFonts w:hint="eastAsia" w:eastAsia="宋体" w:cs="Times New Roman"/>
                <w:sz w:val="21"/>
                <w:szCs w:val="21"/>
              </w:rPr>
              <w:t>0.</w:t>
            </w:r>
            <w:r>
              <w:rPr>
                <w:rFonts w:eastAsia="宋体" w:cs="Times New Roman"/>
                <w:sz w:val="21"/>
                <w:szCs w:val="21"/>
              </w:rPr>
              <w:t>432916</w:t>
            </w:r>
          </w:p>
        </w:tc>
        <w:tc>
          <w:tcPr>
            <w:tcW w:w="363" w:type="pct"/>
            <w:tcBorders>
              <w:left w:val="single" w:color="000000" w:sz="2" w:space="0"/>
              <w:right w:val="single" w:color="000000" w:sz="2" w:space="0"/>
            </w:tcBorders>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委托利用</w:t>
            </w:r>
          </w:p>
        </w:tc>
        <w:tc>
          <w:tcPr>
            <w:tcW w:w="495" w:type="pct"/>
            <w:tcBorders>
              <w:left w:val="single" w:color="000000" w:sz="2" w:space="0"/>
            </w:tcBorders>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珲春鑫辉建筑工程有限公司</w:t>
            </w:r>
          </w:p>
        </w:tc>
      </w:tr>
    </w:tbl>
    <w:p>
      <w:pPr>
        <w:ind w:firstLine="480"/>
        <w:rPr>
          <w:rFonts w:cs="Times New Roman"/>
        </w:rPr>
      </w:pPr>
      <w:r>
        <w:rPr>
          <w:rFonts w:cs="Times New Roman"/>
        </w:rPr>
        <w:t>（2）贮存、处置场所或设施</w:t>
      </w:r>
    </w:p>
    <w:p>
      <w:pPr>
        <w:ind w:firstLine="480"/>
        <w:rPr>
          <w:rFonts w:cs="Times New Roman"/>
        </w:rPr>
      </w:pPr>
      <w:r>
        <w:rPr>
          <w:rFonts w:hint="eastAsia" w:cs="Times New Roman"/>
        </w:rPr>
        <w:t>曙光金铜矿的</w:t>
      </w:r>
      <w:r>
        <w:rPr>
          <w:rFonts w:cs="Times New Roman"/>
        </w:rPr>
        <w:t>一般工业固体废物</w:t>
      </w:r>
      <w:r>
        <w:rPr>
          <w:rFonts w:cs="Times New Roman"/>
          <w:color w:val="000000" w:themeColor="text1"/>
          <w14:textFill>
            <w14:solidFill>
              <w14:schemeClr w14:val="tx1"/>
            </w14:solidFill>
          </w14:textFill>
        </w:rPr>
        <w:t>贮存、处置场所或设施主要为</w:t>
      </w:r>
      <w:r>
        <w:rPr>
          <w:rFonts w:hint="eastAsia" w:cs="Times New Roman"/>
          <w:kern w:val="0"/>
          <w:szCs w:val="24"/>
        </w:rPr>
        <w:t>排土场</w:t>
      </w:r>
      <w:r>
        <w:rPr>
          <w:rFonts w:cs="Times New Roman"/>
          <w:kern w:val="0"/>
          <w:szCs w:val="24"/>
        </w:rPr>
        <w:t>和</w:t>
      </w:r>
      <w:r>
        <w:rPr>
          <w:rFonts w:hint="eastAsia" w:cs="Times New Roman"/>
          <w:kern w:val="0"/>
          <w:szCs w:val="24"/>
        </w:rPr>
        <w:t>尾矿库</w:t>
      </w:r>
      <w:r>
        <w:rPr>
          <w:rFonts w:cs="Times New Roman"/>
          <w:kern w:val="0"/>
          <w:szCs w:val="24"/>
        </w:rPr>
        <w:t>。</w:t>
      </w:r>
      <w:r>
        <w:rPr>
          <w:rFonts w:cs="Times New Roman"/>
          <w:color w:val="000000" w:themeColor="text1"/>
          <w14:textFill>
            <w14:solidFill>
              <w14:schemeClr w14:val="tx1"/>
            </w14:solidFill>
          </w14:textFill>
        </w:rPr>
        <w:t>具体信息见表5.3-2。</w:t>
      </w:r>
    </w:p>
    <w:p>
      <w:pPr>
        <w:ind w:firstLine="0" w:firstLineChars="0"/>
        <w:jc w:val="center"/>
        <w:rPr>
          <w:rFonts w:cs="Times New Roman"/>
        </w:rPr>
      </w:pPr>
      <w:r>
        <w:rPr>
          <w:rFonts w:eastAsia="黑体" w:cs="Times New Roman"/>
        </w:rPr>
        <w:t xml:space="preserve">表5.3-2 </w:t>
      </w:r>
      <w:r>
        <w:rPr>
          <w:rFonts w:hint="eastAsia" w:eastAsia="黑体" w:cs="Times New Roman"/>
        </w:rPr>
        <w:t xml:space="preserve"> </w:t>
      </w:r>
      <w:r>
        <w:rPr>
          <w:rFonts w:eastAsia="黑体" w:cs="Times New Roman"/>
        </w:rPr>
        <w:t>一般工业固体废物贮存、处置场所或设施信息汇总表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31"/>
        <w:gridCol w:w="757"/>
        <w:gridCol w:w="567"/>
        <w:gridCol w:w="708"/>
        <w:gridCol w:w="711"/>
        <w:gridCol w:w="993"/>
        <w:gridCol w:w="1192"/>
        <w:gridCol w:w="1444"/>
        <w:gridCol w:w="14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37" w:hRule="atLeast"/>
          <w:jc w:val="center"/>
        </w:trPr>
        <w:tc>
          <w:tcPr>
            <w:tcW w:w="319" w:type="pct"/>
            <w:vMerge w:val="restar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序号</w:t>
            </w:r>
          </w:p>
        </w:tc>
        <w:tc>
          <w:tcPr>
            <w:tcW w:w="454" w:type="pct"/>
            <w:vMerge w:val="restar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设施名称</w:t>
            </w:r>
          </w:p>
        </w:tc>
        <w:tc>
          <w:tcPr>
            <w:tcW w:w="340" w:type="pct"/>
            <w:vMerge w:val="restar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设施编号</w:t>
            </w:r>
          </w:p>
        </w:tc>
        <w:tc>
          <w:tcPr>
            <w:tcW w:w="424" w:type="pct"/>
            <w:vMerge w:val="restar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设施类型</w:t>
            </w:r>
          </w:p>
        </w:tc>
        <w:tc>
          <w:tcPr>
            <w:tcW w:w="426" w:type="pct"/>
            <w:vMerge w:val="restart"/>
            <w:tcBorders>
              <w:right w:val="single" w:color="000000" w:sz="2" w:space="0"/>
            </w:tcBorders>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面积</w:t>
            </w:r>
          </w:p>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w:t>
            </w:r>
            <w:r>
              <w:rPr>
                <w:rFonts w:eastAsia="宋体" w:cs="Times New Roman"/>
                <w:kern w:val="0"/>
                <w:sz w:val="21"/>
                <w:szCs w:val="21"/>
                <w:lang w:bidi="en-US"/>
              </w:rPr>
              <w:t>m</w:t>
            </w:r>
            <w:r>
              <w:rPr>
                <w:rFonts w:eastAsia="宋体" w:cs="Times New Roman"/>
                <w:kern w:val="0"/>
                <w:sz w:val="21"/>
                <w:szCs w:val="21"/>
                <w:vertAlign w:val="superscript"/>
                <w:lang w:bidi="en-US"/>
              </w:rPr>
              <w:t>2</w:t>
            </w:r>
            <w:r>
              <w:rPr>
                <w:rFonts w:eastAsia="宋体" w:cs="Times New Roman"/>
                <w:sz w:val="21"/>
                <w:szCs w:val="21"/>
              </w:rPr>
              <w:t>）</w:t>
            </w:r>
          </w:p>
        </w:tc>
        <w:tc>
          <w:tcPr>
            <w:tcW w:w="595" w:type="pct"/>
            <w:vMerge w:val="restart"/>
            <w:tcBorders>
              <w:left w:val="single" w:color="000000" w:sz="2" w:space="0"/>
              <w:right w:val="single" w:color="000000" w:sz="2" w:space="0"/>
            </w:tcBorders>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设计容量（万m</w:t>
            </w:r>
            <w:r>
              <w:rPr>
                <w:rFonts w:eastAsia="宋体" w:cs="Times New Roman"/>
                <w:sz w:val="21"/>
                <w:szCs w:val="21"/>
                <w:vertAlign w:val="superscript"/>
              </w:rPr>
              <w:t>3</w:t>
            </w:r>
            <w:r>
              <w:rPr>
                <w:rFonts w:eastAsia="宋体" w:cs="Times New Roman"/>
                <w:sz w:val="21"/>
                <w:szCs w:val="21"/>
              </w:rPr>
              <w:t>）</w:t>
            </w:r>
          </w:p>
        </w:tc>
        <w:tc>
          <w:tcPr>
            <w:tcW w:w="714" w:type="pct"/>
            <w:vMerge w:val="restart"/>
            <w:tcBorders>
              <w:left w:val="single" w:color="000000" w:sz="2" w:space="0"/>
            </w:tcBorders>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累计贮存量（万t）</w:t>
            </w:r>
          </w:p>
        </w:tc>
        <w:tc>
          <w:tcPr>
            <w:tcW w:w="1727" w:type="pct"/>
            <w:gridSpan w:val="2"/>
            <w:tcBorders>
              <w:left w:val="single" w:color="000000" w:sz="2" w:space="0"/>
              <w:bottom w:val="single" w:color="000000" w:sz="2" w:space="0"/>
            </w:tcBorders>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95" w:hRule="atLeast"/>
          <w:jc w:val="center"/>
        </w:trPr>
        <w:tc>
          <w:tcPr>
            <w:tcW w:w="319" w:type="pct"/>
            <w:vMerge w:val="continue"/>
            <w:vAlign w:val="center"/>
          </w:tcPr>
          <w:p>
            <w:pPr>
              <w:adjustRightInd w:val="0"/>
              <w:snapToGrid w:val="0"/>
              <w:spacing w:line="240" w:lineRule="auto"/>
              <w:ind w:firstLine="0" w:firstLineChars="0"/>
              <w:jc w:val="center"/>
              <w:rPr>
                <w:rFonts w:eastAsia="宋体" w:cs="Times New Roman"/>
                <w:sz w:val="21"/>
                <w:szCs w:val="21"/>
              </w:rPr>
            </w:pPr>
          </w:p>
        </w:tc>
        <w:tc>
          <w:tcPr>
            <w:tcW w:w="454" w:type="pct"/>
            <w:vMerge w:val="continue"/>
            <w:vAlign w:val="center"/>
          </w:tcPr>
          <w:p>
            <w:pPr>
              <w:adjustRightInd w:val="0"/>
              <w:snapToGrid w:val="0"/>
              <w:spacing w:line="240" w:lineRule="auto"/>
              <w:ind w:firstLine="0" w:firstLineChars="0"/>
              <w:jc w:val="center"/>
              <w:rPr>
                <w:rFonts w:eastAsia="宋体" w:cs="Times New Roman"/>
                <w:sz w:val="21"/>
                <w:szCs w:val="21"/>
              </w:rPr>
            </w:pPr>
          </w:p>
        </w:tc>
        <w:tc>
          <w:tcPr>
            <w:tcW w:w="340" w:type="pct"/>
            <w:vMerge w:val="continue"/>
            <w:vAlign w:val="center"/>
          </w:tcPr>
          <w:p>
            <w:pPr>
              <w:adjustRightInd w:val="0"/>
              <w:snapToGrid w:val="0"/>
              <w:spacing w:line="240" w:lineRule="auto"/>
              <w:ind w:firstLine="0" w:firstLineChars="0"/>
              <w:jc w:val="center"/>
              <w:rPr>
                <w:rFonts w:eastAsia="宋体" w:cs="Times New Roman"/>
                <w:sz w:val="21"/>
                <w:szCs w:val="21"/>
              </w:rPr>
            </w:pPr>
          </w:p>
        </w:tc>
        <w:tc>
          <w:tcPr>
            <w:tcW w:w="424" w:type="pct"/>
            <w:vMerge w:val="continue"/>
            <w:vAlign w:val="center"/>
          </w:tcPr>
          <w:p>
            <w:pPr>
              <w:adjustRightInd w:val="0"/>
              <w:snapToGrid w:val="0"/>
              <w:spacing w:line="240" w:lineRule="auto"/>
              <w:ind w:firstLine="0" w:firstLineChars="0"/>
              <w:jc w:val="center"/>
              <w:rPr>
                <w:rFonts w:eastAsia="宋体" w:cs="Times New Roman"/>
                <w:sz w:val="21"/>
                <w:szCs w:val="21"/>
              </w:rPr>
            </w:pPr>
          </w:p>
        </w:tc>
        <w:tc>
          <w:tcPr>
            <w:tcW w:w="426" w:type="pct"/>
            <w:vMerge w:val="continue"/>
            <w:tcBorders>
              <w:right w:val="single" w:color="000000" w:sz="2" w:space="0"/>
            </w:tcBorders>
            <w:vAlign w:val="center"/>
          </w:tcPr>
          <w:p>
            <w:pPr>
              <w:adjustRightInd w:val="0"/>
              <w:snapToGrid w:val="0"/>
              <w:spacing w:line="240" w:lineRule="auto"/>
              <w:ind w:firstLine="0" w:firstLineChars="0"/>
              <w:jc w:val="center"/>
              <w:rPr>
                <w:rFonts w:eastAsia="宋体" w:cs="Times New Roman"/>
                <w:sz w:val="21"/>
                <w:szCs w:val="21"/>
              </w:rPr>
            </w:pPr>
          </w:p>
        </w:tc>
        <w:tc>
          <w:tcPr>
            <w:tcW w:w="595" w:type="pct"/>
            <w:vMerge w:val="continue"/>
            <w:tcBorders>
              <w:left w:val="single" w:color="000000" w:sz="2" w:space="0"/>
              <w:right w:val="single" w:color="000000" w:sz="2" w:space="0"/>
            </w:tcBorders>
            <w:vAlign w:val="center"/>
          </w:tcPr>
          <w:p>
            <w:pPr>
              <w:adjustRightInd w:val="0"/>
              <w:snapToGrid w:val="0"/>
              <w:spacing w:line="240" w:lineRule="auto"/>
              <w:ind w:firstLine="0" w:firstLineChars="0"/>
              <w:jc w:val="center"/>
              <w:rPr>
                <w:rFonts w:eastAsia="宋体" w:cs="Times New Roman"/>
                <w:sz w:val="21"/>
                <w:szCs w:val="21"/>
              </w:rPr>
            </w:pPr>
          </w:p>
        </w:tc>
        <w:tc>
          <w:tcPr>
            <w:tcW w:w="714" w:type="pct"/>
            <w:vMerge w:val="continue"/>
            <w:tcBorders>
              <w:left w:val="single" w:color="000000" w:sz="2" w:space="0"/>
            </w:tcBorders>
            <w:vAlign w:val="center"/>
          </w:tcPr>
          <w:p>
            <w:pPr>
              <w:adjustRightInd w:val="0"/>
              <w:snapToGrid w:val="0"/>
              <w:spacing w:line="240" w:lineRule="auto"/>
              <w:ind w:firstLine="0" w:firstLineChars="0"/>
              <w:jc w:val="center"/>
              <w:rPr>
                <w:rFonts w:eastAsia="宋体" w:cs="Times New Roman"/>
                <w:sz w:val="21"/>
                <w:szCs w:val="21"/>
              </w:rPr>
            </w:pPr>
          </w:p>
        </w:tc>
        <w:tc>
          <w:tcPr>
            <w:tcW w:w="865" w:type="pct"/>
            <w:tcBorders>
              <w:top w:val="single" w:color="000000" w:sz="2" w:space="0"/>
              <w:left w:val="single" w:color="000000" w:sz="2" w:space="0"/>
            </w:tcBorders>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经度</w:t>
            </w:r>
          </w:p>
        </w:tc>
        <w:tc>
          <w:tcPr>
            <w:tcW w:w="862" w:type="pct"/>
            <w:tcBorders>
              <w:top w:val="single" w:color="000000" w:sz="2" w:space="0"/>
              <w:left w:val="single" w:color="000000" w:sz="2" w:space="0"/>
            </w:tcBorders>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纬度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19"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1</w:t>
            </w:r>
          </w:p>
        </w:tc>
        <w:tc>
          <w:tcPr>
            <w:tcW w:w="454"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尾矿库</w:t>
            </w:r>
          </w:p>
        </w:tc>
        <w:tc>
          <w:tcPr>
            <w:tcW w:w="340"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w:t>
            </w:r>
          </w:p>
        </w:tc>
        <w:tc>
          <w:tcPr>
            <w:tcW w:w="424" w:type="pct"/>
            <w:vAlign w:val="center"/>
          </w:tcPr>
          <w:p>
            <w:pPr>
              <w:snapToGrid w:val="0"/>
              <w:spacing w:line="240" w:lineRule="auto"/>
              <w:ind w:firstLine="0" w:firstLineChars="0"/>
              <w:jc w:val="center"/>
              <w:rPr>
                <w:rFonts w:eastAsia="宋体" w:cs="Times New Roman"/>
                <w:sz w:val="21"/>
                <w:szCs w:val="21"/>
              </w:rPr>
            </w:pPr>
            <w:r>
              <w:rPr>
                <w:rFonts w:hint="eastAsia" w:ascii="宋体" w:hAnsi="宋体" w:eastAsia="宋体" w:cs="宋体"/>
                <w:sz w:val="21"/>
                <w:szCs w:val="21"/>
              </w:rPr>
              <w:t>Ⅰ</w:t>
            </w:r>
            <w:r>
              <w:rPr>
                <w:rFonts w:eastAsia="宋体" w:cs="Times New Roman"/>
                <w:sz w:val="21"/>
                <w:szCs w:val="21"/>
              </w:rPr>
              <w:t>类场</w:t>
            </w:r>
          </w:p>
        </w:tc>
        <w:tc>
          <w:tcPr>
            <w:tcW w:w="426" w:type="pct"/>
            <w:tcBorders>
              <w:right w:val="single" w:color="000000" w:sz="2" w:space="0"/>
            </w:tcBorders>
            <w:vAlign w:val="center"/>
          </w:tcPr>
          <w:p>
            <w:pPr>
              <w:snapToGrid w:val="0"/>
              <w:spacing w:line="240" w:lineRule="auto"/>
              <w:ind w:firstLine="0" w:firstLineChars="0"/>
              <w:jc w:val="center"/>
              <w:rPr>
                <w:rFonts w:eastAsia="宋体" w:cs="Times New Roman"/>
                <w:sz w:val="21"/>
                <w:szCs w:val="21"/>
              </w:rPr>
            </w:pPr>
            <w:r>
              <w:rPr>
                <w:rFonts w:hint="eastAsia" w:eastAsia="宋体" w:cs="Times New Roman"/>
                <w:sz w:val="21"/>
                <w:szCs w:val="21"/>
              </w:rPr>
              <w:t>/</w:t>
            </w:r>
          </w:p>
        </w:tc>
        <w:tc>
          <w:tcPr>
            <w:tcW w:w="595" w:type="pct"/>
            <w:tcBorders>
              <w:left w:val="single" w:color="000000" w:sz="2" w:space="0"/>
              <w:right w:val="single" w:color="000000" w:sz="2" w:space="0"/>
            </w:tcBorders>
            <w:vAlign w:val="center"/>
          </w:tcPr>
          <w:p>
            <w:pPr>
              <w:pStyle w:val="67"/>
              <w:snapToGrid w:val="0"/>
              <w:rPr>
                <w:szCs w:val="21"/>
              </w:rPr>
            </w:pPr>
            <w:r>
              <w:rPr>
                <w:szCs w:val="21"/>
              </w:rPr>
              <w:t>10778.7</w:t>
            </w:r>
          </w:p>
        </w:tc>
        <w:tc>
          <w:tcPr>
            <w:tcW w:w="714" w:type="pct"/>
            <w:tcBorders>
              <w:left w:val="single" w:color="000000" w:sz="2" w:space="0"/>
            </w:tcBorders>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9776.78</w:t>
            </w:r>
          </w:p>
        </w:tc>
        <w:tc>
          <w:tcPr>
            <w:tcW w:w="865" w:type="pct"/>
            <w:tcBorders>
              <w:left w:val="single" w:color="000000" w:sz="2" w:space="0"/>
            </w:tcBorders>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130°31'48''</w:t>
            </w:r>
          </w:p>
        </w:tc>
        <w:tc>
          <w:tcPr>
            <w:tcW w:w="862" w:type="pct"/>
            <w:tcBorders>
              <w:left w:val="single" w:color="000000" w:sz="2" w:space="0"/>
            </w:tcBorders>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43°7'12''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jc w:val="center"/>
        </w:trPr>
        <w:tc>
          <w:tcPr>
            <w:tcW w:w="319"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2</w:t>
            </w:r>
          </w:p>
        </w:tc>
        <w:tc>
          <w:tcPr>
            <w:tcW w:w="454"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排土场</w:t>
            </w:r>
          </w:p>
        </w:tc>
        <w:tc>
          <w:tcPr>
            <w:tcW w:w="340"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w:t>
            </w:r>
          </w:p>
        </w:tc>
        <w:tc>
          <w:tcPr>
            <w:tcW w:w="424" w:type="pct"/>
            <w:vAlign w:val="center"/>
          </w:tcPr>
          <w:p>
            <w:pPr>
              <w:snapToGrid w:val="0"/>
              <w:spacing w:line="240" w:lineRule="auto"/>
              <w:ind w:firstLine="0" w:firstLineChars="0"/>
              <w:jc w:val="center"/>
              <w:rPr>
                <w:rFonts w:eastAsia="宋体" w:cs="Times New Roman"/>
                <w:sz w:val="21"/>
                <w:szCs w:val="21"/>
              </w:rPr>
            </w:pPr>
            <w:r>
              <w:rPr>
                <w:rFonts w:hint="eastAsia" w:ascii="宋体" w:hAnsi="宋体" w:eastAsia="宋体" w:cs="宋体"/>
                <w:sz w:val="21"/>
                <w:szCs w:val="21"/>
              </w:rPr>
              <w:t>Ⅰ</w:t>
            </w:r>
            <w:r>
              <w:rPr>
                <w:rFonts w:eastAsia="宋体" w:cs="Times New Roman"/>
                <w:sz w:val="21"/>
                <w:szCs w:val="21"/>
              </w:rPr>
              <w:t>类场</w:t>
            </w:r>
          </w:p>
        </w:tc>
        <w:tc>
          <w:tcPr>
            <w:tcW w:w="426" w:type="pct"/>
            <w:tcBorders>
              <w:right w:val="single" w:color="000000" w:sz="2" w:space="0"/>
            </w:tcBorders>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120hm</w:t>
            </w:r>
            <w:r>
              <w:rPr>
                <w:rFonts w:eastAsia="宋体" w:cs="Times New Roman"/>
                <w:sz w:val="21"/>
                <w:szCs w:val="21"/>
                <w:vertAlign w:val="superscript"/>
              </w:rPr>
              <w:t>2</w:t>
            </w:r>
          </w:p>
        </w:tc>
        <w:tc>
          <w:tcPr>
            <w:tcW w:w="595" w:type="pct"/>
            <w:tcBorders>
              <w:left w:val="single" w:color="000000" w:sz="2" w:space="0"/>
              <w:right w:val="single" w:color="000000" w:sz="2" w:space="0"/>
            </w:tcBorders>
            <w:vAlign w:val="center"/>
          </w:tcPr>
          <w:p>
            <w:pPr>
              <w:pStyle w:val="67"/>
              <w:snapToGrid w:val="0"/>
              <w:rPr>
                <w:szCs w:val="21"/>
              </w:rPr>
            </w:pPr>
            <w:r>
              <w:rPr>
                <w:szCs w:val="21"/>
              </w:rPr>
              <w:t>6036.11</w:t>
            </w:r>
          </w:p>
        </w:tc>
        <w:tc>
          <w:tcPr>
            <w:tcW w:w="714" w:type="pct"/>
            <w:tcBorders>
              <w:left w:val="single" w:color="000000" w:sz="2" w:space="0"/>
            </w:tcBorders>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5760</w:t>
            </w:r>
          </w:p>
        </w:tc>
        <w:tc>
          <w:tcPr>
            <w:tcW w:w="865" w:type="pct"/>
            <w:tcBorders>
              <w:left w:val="single" w:color="000000" w:sz="2" w:space="0"/>
            </w:tcBorders>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130°31'48''</w:t>
            </w:r>
          </w:p>
        </w:tc>
        <w:tc>
          <w:tcPr>
            <w:tcW w:w="862" w:type="pct"/>
            <w:tcBorders>
              <w:left w:val="single" w:color="000000" w:sz="2" w:space="0"/>
            </w:tcBorders>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43°7'12''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19"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3</w:t>
            </w:r>
          </w:p>
        </w:tc>
        <w:tc>
          <w:tcPr>
            <w:tcW w:w="454"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炉渣储存库</w:t>
            </w:r>
          </w:p>
        </w:tc>
        <w:tc>
          <w:tcPr>
            <w:tcW w:w="340" w:type="pct"/>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w:t>
            </w:r>
          </w:p>
        </w:tc>
        <w:tc>
          <w:tcPr>
            <w:tcW w:w="424" w:type="pct"/>
            <w:vAlign w:val="center"/>
          </w:tcPr>
          <w:p>
            <w:pPr>
              <w:snapToGrid w:val="0"/>
              <w:spacing w:line="240" w:lineRule="auto"/>
              <w:ind w:firstLine="0" w:firstLineChars="0"/>
              <w:jc w:val="center"/>
              <w:rPr>
                <w:rFonts w:eastAsia="宋体" w:cs="Times New Roman"/>
                <w:sz w:val="21"/>
                <w:szCs w:val="21"/>
              </w:rPr>
            </w:pPr>
            <w:r>
              <w:rPr>
                <w:rFonts w:hint="eastAsia" w:ascii="宋体" w:hAnsi="宋体" w:eastAsia="宋体" w:cs="宋体"/>
                <w:sz w:val="21"/>
                <w:szCs w:val="21"/>
              </w:rPr>
              <w:t>Ⅱ</w:t>
            </w:r>
            <w:r>
              <w:rPr>
                <w:rFonts w:eastAsia="宋体" w:cs="Times New Roman"/>
                <w:sz w:val="21"/>
                <w:szCs w:val="21"/>
              </w:rPr>
              <w:t>类场</w:t>
            </w:r>
          </w:p>
        </w:tc>
        <w:tc>
          <w:tcPr>
            <w:tcW w:w="426" w:type="pct"/>
            <w:tcBorders>
              <w:right w:val="single" w:color="000000" w:sz="2" w:space="0"/>
            </w:tcBorders>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700</w:t>
            </w:r>
          </w:p>
        </w:tc>
        <w:tc>
          <w:tcPr>
            <w:tcW w:w="595" w:type="pct"/>
            <w:tcBorders>
              <w:left w:val="single" w:color="000000" w:sz="2" w:space="0"/>
              <w:right w:val="single" w:color="000000" w:sz="2" w:space="0"/>
            </w:tcBorders>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w:t>
            </w:r>
          </w:p>
        </w:tc>
        <w:tc>
          <w:tcPr>
            <w:tcW w:w="714" w:type="pct"/>
            <w:tcBorders>
              <w:left w:val="single" w:color="000000" w:sz="2" w:space="0"/>
            </w:tcBorders>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w:t>
            </w:r>
          </w:p>
        </w:tc>
        <w:tc>
          <w:tcPr>
            <w:tcW w:w="865" w:type="pct"/>
            <w:tcBorders>
              <w:left w:val="single" w:color="000000" w:sz="2" w:space="0"/>
            </w:tcBorders>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130°31'48''</w:t>
            </w:r>
          </w:p>
        </w:tc>
        <w:tc>
          <w:tcPr>
            <w:tcW w:w="862" w:type="pct"/>
            <w:tcBorders>
              <w:left w:val="single" w:color="000000" w:sz="2" w:space="0"/>
            </w:tcBorders>
            <w:vAlign w:val="center"/>
          </w:tcPr>
          <w:p>
            <w:pPr>
              <w:snapToGrid w:val="0"/>
              <w:spacing w:line="240" w:lineRule="auto"/>
              <w:ind w:firstLine="0" w:firstLineChars="0"/>
              <w:jc w:val="center"/>
              <w:rPr>
                <w:rFonts w:eastAsia="宋体" w:cs="Times New Roman"/>
                <w:sz w:val="21"/>
                <w:szCs w:val="21"/>
              </w:rPr>
            </w:pPr>
            <w:r>
              <w:rPr>
                <w:rFonts w:eastAsia="宋体" w:cs="Times New Roman"/>
                <w:sz w:val="21"/>
                <w:szCs w:val="21"/>
              </w:rPr>
              <w:t>43°7'12''</w:t>
            </w:r>
          </w:p>
        </w:tc>
      </w:tr>
    </w:tbl>
    <w:p>
      <w:pPr>
        <w:ind w:firstLine="480"/>
        <w:rPr>
          <w:rFonts w:cs="Times New Roman"/>
          <w:color w:val="000000" w:themeColor="text1"/>
          <w14:textFill>
            <w14:solidFill>
              <w14:schemeClr w14:val="tx1"/>
            </w14:solidFill>
          </w14:textFill>
        </w:rPr>
      </w:pPr>
      <w:r>
        <w:rPr>
          <w:rFonts w:cs="Times New Roman"/>
        </w:rPr>
        <w:t>（3）委托他人利用和处置情况</w:t>
      </w:r>
    </w:p>
    <w:p>
      <w:pPr>
        <w:ind w:firstLine="480"/>
        <w:rPr>
          <w:rFonts w:cs="Times New Roman"/>
          <w:kern w:val="0"/>
          <w:szCs w:val="24"/>
        </w:rPr>
      </w:pPr>
      <w:r>
        <w:rPr>
          <w:rFonts w:cs="Times New Roman"/>
        </w:rPr>
        <w:t>202</w:t>
      </w:r>
      <w:r>
        <w:rPr>
          <w:rFonts w:hint="eastAsia" w:cs="Times New Roman"/>
        </w:rPr>
        <w:t>2</w:t>
      </w:r>
      <w:r>
        <w:rPr>
          <w:rFonts w:cs="Times New Roman"/>
        </w:rPr>
        <w:t>年，</w:t>
      </w:r>
      <w:r>
        <w:rPr>
          <w:rFonts w:hint="eastAsia" w:cs="Times New Roman"/>
        </w:rPr>
        <w:t>曙光金铜矿</w:t>
      </w:r>
      <w:r>
        <w:rPr>
          <w:rFonts w:cs="Times New Roman"/>
        </w:rPr>
        <w:t>产生的</w:t>
      </w:r>
      <w:r>
        <w:rPr>
          <w:rFonts w:hint="eastAsia" w:cs="Times New Roman"/>
        </w:rPr>
        <w:t>少部分采矿废石（</w:t>
      </w:r>
      <w:r>
        <w:rPr>
          <w:rFonts w:hint="eastAsia"/>
          <w:color w:val="000000"/>
          <w:kern w:val="0"/>
          <w:szCs w:val="21"/>
          <w:lang w:bidi="ar"/>
        </w:rPr>
        <w:t>7.93万</w:t>
      </w:r>
      <w:r>
        <w:rPr>
          <w:rFonts w:cs="Times New Roman"/>
          <w:kern w:val="0"/>
          <w:szCs w:val="24"/>
        </w:rPr>
        <w:t>吨</w:t>
      </w:r>
      <w:r>
        <w:rPr>
          <w:rFonts w:hint="eastAsia" w:cs="Times New Roman"/>
        </w:rPr>
        <w:t>）</w:t>
      </w:r>
      <w:r>
        <w:rPr>
          <w:rFonts w:cs="Times New Roman"/>
        </w:rPr>
        <w:t>委托</w:t>
      </w:r>
      <w:r>
        <w:rPr>
          <w:rFonts w:hint="eastAsia"/>
          <w:szCs w:val="21"/>
        </w:rPr>
        <w:t>珲春森林山新型建材有限公司进行资源化综合利用</w:t>
      </w:r>
      <w:r>
        <w:rPr>
          <w:rFonts w:cs="Times New Roman"/>
          <w:kern w:val="0"/>
          <w:szCs w:val="24"/>
        </w:rPr>
        <w:t>。</w:t>
      </w:r>
    </w:p>
    <w:p>
      <w:pPr>
        <w:ind w:firstLine="480"/>
        <w:rPr>
          <w:rFonts w:cs="Times New Roman"/>
          <w:kern w:val="0"/>
          <w:szCs w:val="24"/>
        </w:rPr>
      </w:pPr>
      <w:r>
        <w:rPr>
          <w:rFonts w:hint="eastAsia"/>
          <w:szCs w:val="21"/>
        </w:rPr>
        <w:t>珲春森林山新型建材有限公司</w:t>
      </w:r>
      <w:r>
        <w:rPr>
          <w:szCs w:val="21"/>
        </w:rPr>
        <w:t>2003年09月15日成立，</w:t>
      </w:r>
      <w:r>
        <w:rPr>
          <w:rFonts w:hint="eastAsia"/>
          <w:szCs w:val="21"/>
        </w:rPr>
        <w:t>位于</w:t>
      </w:r>
      <w:r>
        <w:t>珲春市英安镇</w:t>
      </w:r>
      <w:r>
        <w:rPr>
          <w:rFonts w:hint="eastAsia"/>
        </w:rPr>
        <w:t>，</w:t>
      </w:r>
      <w:r>
        <w:rPr>
          <w:szCs w:val="21"/>
        </w:rPr>
        <w:t>经营范围包括</w:t>
      </w:r>
      <w:r>
        <w:rPr>
          <w:rFonts w:hint="eastAsia"/>
          <w:szCs w:val="21"/>
        </w:rPr>
        <w:t>销售粉煤灰空心砌砖、步道砖、路边砖、其它环保建筑装饰材料、粉煤灰、少数民族民俗建材（不含木材）、日用百货、服装、鞋帽；石材、砂石的生产、加工、销售；普通货物道路运输（不含危险品）。该公司利用采矿废石作为建筑石料利用。</w:t>
      </w:r>
    </w:p>
    <w:p>
      <w:pPr>
        <w:ind w:firstLine="480"/>
        <w:rPr>
          <w:rFonts w:cs="Times New Roman"/>
          <w:kern w:val="0"/>
          <w:szCs w:val="24"/>
        </w:rPr>
      </w:pPr>
      <w:r>
        <w:rPr>
          <w:rFonts w:hint="eastAsia" w:cs="Times New Roman"/>
          <w:kern w:val="0"/>
          <w:szCs w:val="24"/>
        </w:rPr>
        <w:t>2022年，曙光金铜矿</w:t>
      </w:r>
      <w:r>
        <w:rPr>
          <w:rFonts w:cs="Times New Roman"/>
        </w:rPr>
        <w:t>产生的</w:t>
      </w:r>
      <w:r>
        <w:rPr>
          <w:rFonts w:hint="eastAsia" w:cs="Times New Roman"/>
        </w:rPr>
        <w:t>大部分炉渣（4329.16吨）</w:t>
      </w:r>
      <w:r>
        <w:rPr>
          <w:rFonts w:cs="Times New Roman"/>
        </w:rPr>
        <w:t>委托</w:t>
      </w:r>
      <w:r>
        <w:rPr>
          <w:rFonts w:hint="eastAsia"/>
          <w:szCs w:val="21"/>
        </w:rPr>
        <w:t>珲春鑫辉建筑工程有限公司进行运输处置</w:t>
      </w:r>
      <w:r>
        <w:rPr>
          <w:rFonts w:hint="eastAsia" w:cs="Times New Roman"/>
          <w:kern w:val="0"/>
          <w:szCs w:val="24"/>
        </w:rPr>
        <w:t>。</w:t>
      </w:r>
    </w:p>
    <w:p>
      <w:pPr>
        <w:ind w:firstLine="480"/>
        <w:rPr>
          <w:rFonts w:cs="Times New Roman"/>
          <w:kern w:val="0"/>
          <w:szCs w:val="24"/>
        </w:rPr>
      </w:pPr>
      <w:r>
        <w:rPr>
          <w:rFonts w:hint="eastAsia" w:cs="Times New Roman"/>
          <w:kern w:val="0"/>
          <w:szCs w:val="24"/>
        </w:rPr>
        <w:t>珲春鑫辉建筑工程有限公司2018年04月13日成立，经营范围包括室内外装饰装修、水暖管道安装维修；外墙保温；防水工程施工；房屋维修。该公司负责将曙光金铜矿产生的锅炉炉渣运至英安乡新明村生产混凝土、粉煤灰砌砖、多孔砖、步道砖、煤矸石砌块、多孔砖、其他建筑墙体材料。该村现有珲春宏起新型墙体建材有限公司、珲春市兴牌石膏线厂等多家建材制造企业。</w:t>
      </w:r>
    </w:p>
    <w:p>
      <w:pPr>
        <w:pStyle w:val="4"/>
        <w:rPr>
          <w:rFonts w:cs="Times New Roman"/>
          <w:color w:val="000000" w:themeColor="text1"/>
          <w14:textFill>
            <w14:solidFill>
              <w14:schemeClr w14:val="tx1"/>
            </w14:solidFill>
          </w14:textFill>
        </w:rPr>
      </w:pPr>
      <w:bookmarkStart w:id="101" w:name="_Toc94185488"/>
      <w:r>
        <w:rPr>
          <w:rFonts w:cs="Times New Roman"/>
          <w:color w:val="000000" w:themeColor="text1"/>
          <w14:textFill>
            <w14:solidFill>
              <w14:schemeClr w14:val="tx1"/>
            </w14:solidFill>
          </w14:textFill>
        </w:rPr>
        <w:t>5.3.2 危险废物</w:t>
      </w:r>
      <w:bookmarkEnd w:id="101"/>
    </w:p>
    <w:p>
      <w:pPr>
        <w:ind w:firstLine="480"/>
        <w:rPr>
          <w:rFonts w:cs="Times New Roman"/>
        </w:rPr>
      </w:pPr>
      <w:r>
        <w:rPr>
          <w:rFonts w:cs="Times New Roman"/>
        </w:rPr>
        <w:t>（1）产生、贮存、利用处置情况</w:t>
      </w:r>
    </w:p>
    <w:p>
      <w:pPr>
        <w:ind w:firstLine="480"/>
        <w:rPr>
          <w:rFonts w:cs="Times New Roman"/>
        </w:rPr>
      </w:pPr>
      <w:r>
        <w:rPr>
          <w:rFonts w:hint="eastAsia" w:cs="Times New Roman"/>
        </w:rPr>
        <w:t>曙光金铜矿</w:t>
      </w:r>
      <w:r>
        <w:rPr>
          <w:rFonts w:cs="Times New Roman"/>
        </w:rPr>
        <w:t>产生的</w:t>
      </w:r>
      <w:r>
        <w:rPr>
          <w:rFonts w:cs="Times New Roman"/>
          <w:kern w:val="0"/>
          <w:szCs w:val="24"/>
        </w:rPr>
        <w:t>危险废物主要为</w:t>
      </w:r>
      <w:r>
        <w:rPr>
          <w:rFonts w:hint="eastAsia" w:cs="Times New Roman"/>
          <w:kern w:val="0"/>
          <w:szCs w:val="24"/>
        </w:rPr>
        <w:t>废机油、废油桶、化验室有机溶剂包装物挂壁残液、废油漆桶和化验室废酸等</w:t>
      </w:r>
      <w:r>
        <w:rPr>
          <w:rFonts w:cs="Times New Roman"/>
          <w:kern w:val="0"/>
          <w:szCs w:val="24"/>
        </w:rPr>
        <w:t>。</w:t>
      </w:r>
    </w:p>
    <w:p>
      <w:pPr>
        <w:ind w:firstLine="0" w:firstLineChars="0"/>
        <w:jc w:val="center"/>
        <w:rPr>
          <w:rFonts w:eastAsia="黑体" w:cs="Times New Roman"/>
        </w:rPr>
      </w:pPr>
      <w:r>
        <w:rPr>
          <w:rFonts w:eastAsia="黑体" w:cs="Times New Roman"/>
        </w:rPr>
        <w:t>表5.3-3</w:t>
      </w:r>
      <w:r>
        <w:rPr>
          <w:rFonts w:hint="eastAsia" w:eastAsia="黑体" w:cs="Times New Roman"/>
        </w:rPr>
        <w:t xml:space="preserve"> </w:t>
      </w:r>
      <w:r>
        <w:rPr>
          <w:rFonts w:eastAsia="黑体" w:cs="Times New Roman"/>
        </w:rPr>
        <w:t xml:space="preserve"> 危险废物产生、贮存及处置量汇总表</w:t>
      </w:r>
    </w:p>
    <w:tbl>
      <w:tblPr>
        <w:tblStyle w:val="43"/>
        <w:tblW w:w="516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20"/>
        <w:gridCol w:w="749"/>
        <w:gridCol w:w="991"/>
        <w:gridCol w:w="984"/>
        <w:gridCol w:w="867"/>
        <w:gridCol w:w="953"/>
        <w:gridCol w:w="799"/>
        <w:gridCol w:w="699"/>
        <w:gridCol w:w="966"/>
        <w:gridCol w:w="533"/>
        <w:gridCol w:w="6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44"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序号</w:t>
            </w:r>
          </w:p>
        </w:tc>
        <w:tc>
          <w:tcPr>
            <w:tcW w:w="435"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名称</w:t>
            </w:r>
          </w:p>
        </w:tc>
        <w:tc>
          <w:tcPr>
            <w:tcW w:w="575"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废物代码</w:t>
            </w:r>
          </w:p>
        </w:tc>
        <w:tc>
          <w:tcPr>
            <w:tcW w:w="571"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主要有害成分</w:t>
            </w:r>
          </w:p>
        </w:tc>
        <w:tc>
          <w:tcPr>
            <w:tcW w:w="503"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危险特性</w:t>
            </w:r>
          </w:p>
        </w:tc>
        <w:tc>
          <w:tcPr>
            <w:tcW w:w="553"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2021年结余量</w:t>
            </w:r>
          </w:p>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（t）</w:t>
            </w:r>
          </w:p>
        </w:tc>
        <w:tc>
          <w:tcPr>
            <w:tcW w:w="464"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2022年年产生量（t）</w:t>
            </w:r>
          </w:p>
        </w:tc>
        <w:tc>
          <w:tcPr>
            <w:tcW w:w="406" w:type="pct"/>
            <w:tcBorders>
              <w:right w:val="single" w:color="000000" w:sz="2" w:space="0"/>
            </w:tcBorders>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2022年结存量（t）</w:t>
            </w:r>
          </w:p>
        </w:tc>
        <w:tc>
          <w:tcPr>
            <w:tcW w:w="561" w:type="pct"/>
            <w:tcBorders>
              <w:left w:val="single" w:color="000000" w:sz="2" w:space="0"/>
              <w:right w:val="single" w:color="000000" w:sz="2" w:space="0"/>
            </w:tcBorders>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利用处置量（t）</w:t>
            </w:r>
          </w:p>
        </w:tc>
        <w:tc>
          <w:tcPr>
            <w:tcW w:w="309" w:type="pct"/>
            <w:tcBorders>
              <w:left w:val="single" w:color="000000" w:sz="2" w:space="0"/>
              <w:right w:val="single" w:color="000000" w:sz="2" w:space="0"/>
            </w:tcBorders>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利用处置方式</w:t>
            </w:r>
          </w:p>
        </w:tc>
        <w:tc>
          <w:tcPr>
            <w:tcW w:w="377" w:type="pct"/>
            <w:tcBorders>
              <w:left w:val="single" w:color="000000" w:sz="2" w:space="0"/>
            </w:tcBorders>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处置去向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44"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1</w:t>
            </w:r>
          </w:p>
        </w:tc>
        <w:tc>
          <w:tcPr>
            <w:tcW w:w="435" w:type="pct"/>
            <w:vAlign w:val="center"/>
          </w:tcPr>
          <w:p>
            <w:pPr>
              <w:adjustRightInd w:val="0"/>
              <w:snapToGrid w:val="0"/>
              <w:spacing w:line="240" w:lineRule="auto"/>
              <w:ind w:firstLine="0" w:firstLineChars="0"/>
              <w:jc w:val="center"/>
              <w:rPr>
                <w:rFonts w:eastAsia="宋体" w:cs="Times New Roman"/>
                <w:kern w:val="24"/>
                <w:sz w:val="21"/>
                <w:szCs w:val="21"/>
              </w:rPr>
            </w:pPr>
            <w:r>
              <w:rPr>
                <w:rFonts w:eastAsia="宋体" w:cs="Times New Roman"/>
                <w:kern w:val="24"/>
                <w:sz w:val="21"/>
                <w:szCs w:val="21"/>
              </w:rPr>
              <w:t>废润滑油</w:t>
            </w:r>
          </w:p>
        </w:tc>
        <w:tc>
          <w:tcPr>
            <w:tcW w:w="575" w:type="pct"/>
            <w:vAlign w:val="center"/>
          </w:tcPr>
          <w:p>
            <w:pPr>
              <w:adjustRightInd w:val="0"/>
              <w:snapToGrid w:val="0"/>
              <w:spacing w:line="240" w:lineRule="auto"/>
              <w:ind w:firstLine="0" w:firstLineChars="0"/>
              <w:jc w:val="center"/>
              <w:rPr>
                <w:rFonts w:eastAsia="宋体" w:cs="Times New Roman"/>
                <w:color w:val="000000"/>
                <w:sz w:val="21"/>
                <w:szCs w:val="21"/>
              </w:rPr>
            </w:pPr>
            <w:r>
              <w:rPr>
                <w:rFonts w:eastAsia="宋体" w:cs="Times New Roman"/>
                <w:color w:val="000000"/>
                <w:sz w:val="21"/>
                <w:szCs w:val="21"/>
              </w:rPr>
              <w:t>900-214-08</w:t>
            </w:r>
          </w:p>
        </w:tc>
        <w:tc>
          <w:tcPr>
            <w:tcW w:w="571" w:type="pct"/>
            <w:vAlign w:val="center"/>
          </w:tcPr>
          <w:p>
            <w:pPr>
              <w:adjustRightInd w:val="0"/>
              <w:snapToGrid w:val="0"/>
              <w:spacing w:line="240" w:lineRule="auto"/>
              <w:ind w:firstLine="0" w:firstLineChars="0"/>
              <w:jc w:val="center"/>
              <w:rPr>
                <w:rFonts w:eastAsia="宋体" w:cs="Times New Roman"/>
                <w:color w:val="000000"/>
                <w:sz w:val="21"/>
                <w:szCs w:val="21"/>
              </w:rPr>
            </w:pPr>
            <w:r>
              <w:rPr>
                <w:rFonts w:eastAsia="宋体" w:cs="Times New Roman"/>
                <w:color w:val="000000"/>
                <w:sz w:val="21"/>
                <w:szCs w:val="21"/>
              </w:rPr>
              <w:t>C15-C36的烷烃、多环芳烃（PAHs)、烯烃、苯系物、酚类等</w:t>
            </w:r>
          </w:p>
        </w:tc>
        <w:tc>
          <w:tcPr>
            <w:tcW w:w="503" w:type="pct"/>
            <w:vAlign w:val="center"/>
          </w:tcPr>
          <w:p>
            <w:pPr>
              <w:adjustRightInd w:val="0"/>
              <w:snapToGrid w:val="0"/>
              <w:spacing w:line="240" w:lineRule="auto"/>
              <w:ind w:firstLine="0" w:firstLineChars="0"/>
              <w:jc w:val="center"/>
              <w:rPr>
                <w:rFonts w:eastAsia="宋体" w:cs="Times New Roman"/>
                <w:kern w:val="24"/>
                <w:sz w:val="21"/>
                <w:szCs w:val="21"/>
              </w:rPr>
            </w:pPr>
            <w:r>
              <w:rPr>
                <w:rFonts w:eastAsia="宋体" w:cs="Times New Roman"/>
                <w:kern w:val="24"/>
                <w:sz w:val="21"/>
                <w:szCs w:val="21"/>
              </w:rPr>
              <w:t>毒性、易燃性</w:t>
            </w:r>
          </w:p>
        </w:tc>
        <w:tc>
          <w:tcPr>
            <w:tcW w:w="553" w:type="pct"/>
            <w:vAlign w:val="center"/>
          </w:tcPr>
          <w:p>
            <w:pPr>
              <w:pStyle w:val="109"/>
              <w:snapToGrid w:val="0"/>
              <w:jc w:val="center"/>
              <w:rPr>
                <w:rFonts w:eastAsia="宋体"/>
                <w:color w:val="auto"/>
                <w:sz w:val="21"/>
                <w:szCs w:val="21"/>
              </w:rPr>
            </w:pPr>
            <w:r>
              <w:rPr>
                <w:rFonts w:eastAsia="宋体"/>
                <w:color w:val="auto"/>
                <w:sz w:val="21"/>
                <w:szCs w:val="21"/>
              </w:rPr>
              <w:t>17.6</w:t>
            </w:r>
          </w:p>
        </w:tc>
        <w:tc>
          <w:tcPr>
            <w:tcW w:w="464" w:type="pct"/>
            <w:vAlign w:val="center"/>
          </w:tcPr>
          <w:p>
            <w:pPr>
              <w:pStyle w:val="109"/>
              <w:snapToGrid w:val="0"/>
              <w:jc w:val="center"/>
              <w:rPr>
                <w:rFonts w:eastAsia="宋体"/>
                <w:color w:val="auto"/>
                <w:sz w:val="21"/>
                <w:szCs w:val="21"/>
              </w:rPr>
            </w:pPr>
            <w:r>
              <w:rPr>
                <w:rFonts w:hint="eastAsia" w:eastAsia="宋体"/>
                <w:color w:val="auto"/>
                <w:sz w:val="21"/>
                <w:szCs w:val="21"/>
              </w:rPr>
              <w:t>49.58</w:t>
            </w:r>
          </w:p>
        </w:tc>
        <w:tc>
          <w:tcPr>
            <w:tcW w:w="406" w:type="pct"/>
            <w:tcBorders>
              <w:right w:val="single" w:color="000000" w:sz="2" w:space="0"/>
            </w:tcBorders>
            <w:vAlign w:val="center"/>
          </w:tcPr>
          <w:p>
            <w:pPr>
              <w:pStyle w:val="109"/>
              <w:snapToGrid w:val="0"/>
              <w:jc w:val="center"/>
              <w:rPr>
                <w:rFonts w:eastAsia="宋体"/>
                <w:color w:val="auto"/>
                <w:sz w:val="21"/>
                <w:szCs w:val="21"/>
              </w:rPr>
            </w:pPr>
            <w:r>
              <w:rPr>
                <w:rFonts w:hint="eastAsia" w:eastAsia="宋体"/>
                <w:color w:val="auto"/>
                <w:sz w:val="21"/>
                <w:szCs w:val="21"/>
              </w:rPr>
              <w:t>0</w:t>
            </w:r>
          </w:p>
        </w:tc>
        <w:tc>
          <w:tcPr>
            <w:tcW w:w="561" w:type="pct"/>
            <w:tcBorders>
              <w:left w:val="single" w:color="000000" w:sz="2" w:space="0"/>
              <w:right w:val="single" w:color="000000" w:sz="2" w:space="0"/>
            </w:tcBorders>
            <w:vAlign w:val="center"/>
          </w:tcPr>
          <w:p>
            <w:pPr>
              <w:pStyle w:val="109"/>
              <w:snapToGrid w:val="0"/>
              <w:jc w:val="center"/>
              <w:rPr>
                <w:rFonts w:eastAsia="宋体"/>
                <w:color w:val="auto"/>
                <w:sz w:val="21"/>
                <w:szCs w:val="21"/>
              </w:rPr>
            </w:pPr>
            <w:r>
              <w:rPr>
                <w:rFonts w:eastAsia="宋体"/>
                <w:color w:val="auto"/>
                <w:sz w:val="21"/>
                <w:szCs w:val="21"/>
              </w:rPr>
              <w:t>67.18</w:t>
            </w:r>
          </w:p>
        </w:tc>
        <w:tc>
          <w:tcPr>
            <w:tcW w:w="309" w:type="pct"/>
            <w:tcBorders>
              <w:left w:val="single" w:color="000000" w:sz="2" w:space="0"/>
              <w:right w:val="single" w:color="000000" w:sz="2" w:space="0"/>
            </w:tcBorders>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委托</w:t>
            </w:r>
            <w:r>
              <w:rPr>
                <w:rFonts w:eastAsia="宋体" w:cs="Times New Roman"/>
                <w:color w:val="000000"/>
                <w:kern w:val="0"/>
                <w:sz w:val="21"/>
                <w:szCs w:val="21"/>
              </w:rPr>
              <w:t>处置</w:t>
            </w:r>
          </w:p>
        </w:tc>
        <w:tc>
          <w:tcPr>
            <w:tcW w:w="377" w:type="pct"/>
            <w:tcBorders>
              <w:left w:val="single" w:color="000000" w:sz="2" w:space="0"/>
            </w:tcBorders>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吉林省环科废油脂加工有限责任公司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44"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2</w:t>
            </w:r>
          </w:p>
        </w:tc>
        <w:tc>
          <w:tcPr>
            <w:tcW w:w="435" w:type="pct"/>
            <w:vAlign w:val="center"/>
          </w:tcPr>
          <w:p>
            <w:pPr>
              <w:adjustRightInd w:val="0"/>
              <w:snapToGrid w:val="0"/>
              <w:spacing w:line="240" w:lineRule="auto"/>
              <w:ind w:firstLine="0" w:firstLineChars="0"/>
              <w:jc w:val="center"/>
              <w:rPr>
                <w:rFonts w:eastAsia="宋体" w:cs="Times New Roman"/>
                <w:kern w:val="24"/>
                <w:sz w:val="21"/>
                <w:szCs w:val="21"/>
              </w:rPr>
            </w:pPr>
            <w:r>
              <w:rPr>
                <w:rFonts w:eastAsia="宋体" w:cs="Times New Roman"/>
                <w:kern w:val="24"/>
                <w:sz w:val="21"/>
                <w:szCs w:val="21"/>
              </w:rPr>
              <w:t>废齿轮油</w:t>
            </w:r>
          </w:p>
        </w:tc>
        <w:tc>
          <w:tcPr>
            <w:tcW w:w="575" w:type="pct"/>
            <w:vAlign w:val="center"/>
          </w:tcPr>
          <w:p>
            <w:pPr>
              <w:adjustRightInd w:val="0"/>
              <w:snapToGrid w:val="0"/>
              <w:spacing w:line="240" w:lineRule="auto"/>
              <w:ind w:firstLine="0" w:firstLineChars="0"/>
              <w:jc w:val="center"/>
              <w:rPr>
                <w:rFonts w:eastAsia="宋体" w:cs="Times New Roman"/>
                <w:color w:val="000000"/>
                <w:sz w:val="21"/>
                <w:szCs w:val="21"/>
              </w:rPr>
            </w:pPr>
            <w:r>
              <w:rPr>
                <w:rFonts w:eastAsia="宋体" w:cs="Times New Roman"/>
                <w:color w:val="000000"/>
                <w:sz w:val="21"/>
                <w:szCs w:val="21"/>
              </w:rPr>
              <w:t>900-217-08</w:t>
            </w:r>
          </w:p>
        </w:tc>
        <w:tc>
          <w:tcPr>
            <w:tcW w:w="571" w:type="pct"/>
            <w:vAlign w:val="center"/>
          </w:tcPr>
          <w:p>
            <w:pPr>
              <w:adjustRightInd w:val="0"/>
              <w:snapToGrid w:val="0"/>
              <w:spacing w:line="240" w:lineRule="auto"/>
              <w:ind w:firstLine="0" w:firstLineChars="0"/>
              <w:jc w:val="center"/>
              <w:rPr>
                <w:rFonts w:eastAsia="宋体" w:cs="Times New Roman"/>
                <w:color w:val="000000"/>
                <w:sz w:val="21"/>
                <w:szCs w:val="21"/>
              </w:rPr>
            </w:pPr>
            <w:r>
              <w:rPr>
                <w:rFonts w:eastAsia="宋体" w:cs="Times New Roman"/>
                <w:color w:val="000000"/>
                <w:sz w:val="21"/>
                <w:szCs w:val="21"/>
              </w:rPr>
              <w:t>C15-C36的烷烃、多环芳烃（PAHs)、烯烃、苯系物、酚类等</w:t>
            </w:r>
          </w:p>
        </w:tc>
        <w:tc>
          <w:tcPr>
            <w:tcW w:w="503" w:type="pct"/>
            <w:vAlign w:val="center"/>
          </w:tcPr>
          <w:p>
            <w:pPr>
              <w:adjustRightInd w:val="0"/>
              <w:snapToGrid w:val="0"/>
              <w:spacing w:line="240" w:lineRule="auto"/>
              <w:ind w:firstLine="0" w:firstLineChars="0"/>
              <w:jc w:val="center"/>
              <w:rPr>
                <w:rFonts w:eastAsia="宋体" w:cs="Times New Roman"/>
                <w:kern w:val="24"/>
                <w:sz w:val="21"/>
                <w:szCs w:val="21"/>
              </w:rPr>
            </w:pPr>
            <w:r>
              <w:rPr>
                <w:rFonts w:eastAsia="宋体" w:cs="Times New Roman"/>
                <w:kern w:val="24"/>
                <w:sz w:val="21"/>
                <w:szCs w:val="21"/>
              </w:rPr>
              <w:t>毒性、易燃性</w:t>
            </w:r>
          </w:p>
        </w:tc>
        <w:tc>
          <w:tcPr>
            <w:tcW w:w="553" w:type="pct"/>
            <w:vAlign w:val="center"/>
          </w:tcPr>
          <w:p>
            <w:pPr>
              <w:pStyle w:val="109"/>
              <w:snapToGrid w:val="0"/>
              <w:jc w:val="center"/>
              <w:rPr>
                <w:rFonts w:eastAsia="宋体"/>
                <w:color w:val="auto"/>
                <w:sz w:val="21"/>
                <w:szCs w:val="21"/>
              </w:rPr>
            </w:pPr>
            <w:r>
              <w:rPr>
                <w:rFonts w:eastAsia="宋体"/>
                <w:color w:val="auto"/>
                <w:sz w:val="21"/>
                <w:szCs w:val="21"/>
              </w:rPr>
              <w:t>0</w:t>
            </w:r>
          </w:p>
        </w:tc>
        <w:tc>
          <w:tcPr>
            <w:tcW w:w="464" w:type="pct"/>
            <w:vAlign w:val="center"/>
          </w:tcPr>
          <w:p>
            <w:pPr>
              <w:pStyle w:val="109"/>
              <w:snapToGrid w:val="0"/>
              <w:jc w:val="center"/>
              <w:rPr>
                <w:rFonts w:eastAsia="宋体"/>
                <w:color w:val="auto"/>
                <w:sz w:val="21"/>
                <w:szCs w:val="21"/>
              </w:rPr>
            </w:pPr>
            <w:r>
              <w:rPr>
                <w:rFonts w:hint="eastAsia" w:eastAsia="宋体"/>
                <w:color w:val="auto"/>
                <w:sz w:val="21"/>
                <w:szCs w:val="21"/>
              </w:rPr>
              <w:t>30.16348</w:t>
            </w:r>
          </w:p>
        </w:tc>
        <w:tc>
          <w:tcPr>
            <w:tcW w:w="406" w:type="pct"/>
            <w:tcBorders>
              <w:right w:val="single" w:color="000000" w:sz="2" w:space="0"/>
            </w:tcBorders>
            <w:vAlign w:val="center"/>
          </w:tcPr>
          <w:p>
            <w:pPr>
              <w:pStyle w:val="109"/>
              <w:snapToGrid w:val="0"/>
              <w:jc w:val="center"/>
              <w:rPr>
                <w:rFonts w:eastAsia="宋体"/>
                <w:color w:val="auto"/>
                <w:sz w:val="21"/>
                <w:szCs w:val="21"/>
              </w:rPr>
            </w:pPr>
            <w:r>
              <w:rPr>
                <w:rFonts w:eastAsia="宋体"/>
                <w:color w:val="auto"/>
                <w:sz w:val="21"/>
                <w:szCs w:val="21"/>
              </w:rPr>
              <w:t>0</w:t>
            </w:r>
          </w:p>
        </w:tc>
        <w:tc>
          <w:tcPr>
            <w:tcW w:w="561" w:type="pct"/>
            <w:tcBorders>
              <w:left w:val="single" w:color="000000" w:sz="2" w:space="0"/>
              <w:right w:val="single" w:color="000000" w:sz="2" w:space="0"/>
            </w:tcBorders>
            <w:vAlign w:val="center"/>
          </w:tcPr>
          <w:p>
            <w:pPr>
              <w:pStyle w:val="109"/>
              <w:snapToGrid w:val="0"/>
              <w:jc w:val="center"/>
              <w:rPr>
                <w:rFonts w:eastAsia="宋体"/>
                <w:color w:val="auto"/>
                <w:sz w:val="21"/>
                <w:szCs w:val="21"/>
              </w:rPr>
            </w:pPr>
            <w:r>
              <w:rPr>
                <w:rFonts w:eastAsia="宋体"/>
                <w:color w:val="auto"/>
                <w:sz w:val="21"/>
                <w:szCs w:val="21"/>
              </w:rPr>
              <w:t>30.16348</w:t>
            </w:r>
          </w:p>
        </w:tc>
        <w:tc>
          <w:tcPr>
            <w:tcW w:w="309" w:type="pct"/>
            <w:tcBorders>
              <w:left w:val="single" w:color="000000" w:sz="2" w:space="0"/>
              <w:right w:val="single" w:color="000000" w:sz="2" w:space="0"/>
            </w:tcBorders>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委托</w:t>
            </w:r>
            <w:r>
              <w:rPr>
                <w:rFonts w:eastAsia="宋体" w:cs="Times New Roman"/>
                <w:color w:val="000000"/>
                <w:kern w:val="0"/>
                <w:sz w:val="21"/>
                <w:szCs w:val="21"/>
              </w:rPr>
              <w:t>处置</w:t>
            </w:r>
          </w:p>
        </w:tc>
        <w:tc>
          <w:tcPr>
            <w:tcW w:w="377" w:type="pct"/>
            <w:vMerge w:val="restart"/>
            <w:tcBorders>
              <w:left w:val="single" w:color="000000" w:sz="2" w:space="0"/>
            </w:tcBorders>
            <w:vAlign w:val="center"/>
          </w:tcPr>
          <w:p>
            <w:pPr>
              <w:adjustRightInd w:val="0"/>
              <w:snapToGrid w:val="0"/>
              <w:spacing w:line="240" w:lineRule="auto"/>
              <w:ind w:firstLine="0" w:firstLineChars="0"/>
              <w:jc w:val="center"/>
              <w:rPr>
                <w:rFonts w:eastAsia="宋体" w:cs="Times New Roman"/>
                <w:kern w:val="0"/>
                <w:sz w:val="21"/>
                <w:szCs w:val="21"/>
              </w:rPr>
            </w:pPr>
            <w:r>
              <w:rPr>
                <w:rFonts w:eastAsia="宋体" w:cs="Times New Roman"/>
                <w:sz w:val="21"/>
                <w:szCs w:val="21"/>
              </w:rPr>
              <w:t>吉林省蓝天固废处理中心有限公司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44" w:type="pct"/>
            <w:vAlign w:val="center"/>
          </w:tcPr>
          <w:p>
            <w:pPr>
              <w:adjustRightInd w:val="0"/>
              <w:snapToGrid w:val="0"/>
              <w:spacing w:line="240" w:lineRule="auto"/>
              <w:ind w:firstLine="0" w:firstLineChars="0"/>
              <w:jc w:val="center"/>
              <w:rPr>
                <w:rFonts w:eastAsia="宋体" w:cs="Times New Roman"/>
                <w:kern w:val="24"/>
                <w:sz w:val="21"/>
                <w:szCs w:val="21"/>
              </w:rPr>
            </w:pPr>
            <w:r>
              <w:rPr>
                <w:rFonts w:eastAsia="宋体" w:cs="Times New Roman"/>
                <w:kern w:val="24"/>
                <w:sz w:val="21"/>
                <w:szCs w:val="21"/>
              </w:rPr>
              <w:t>3</w:t>
            </w:r>
          </w:p>
        </w:tc>
        <w:tc>
          <w:tcPr>
            <w:tcW w:w="435" w:type="pct"/>
            <w:vAlign w:val="center"/>
          </w:tcPr>
          <w:p>
            <w:pPr>
              <w:adjustRightInd w:val="0"/>
              <w:snapToGrid w:val="0"/>
              <w:spacing w:line="240" w:lineRule="auto"/>
              <w:ind w:firstLine="0" w:firstLineChars="0"/>
              <w:jc w:val="center"/>
              <w:rPr>
                <w:rFonts w:eastAsia="宋体" w:cs="Times New Roman"/>
                <w:kern w:val="24"/>
                <w:sz w:val="21"/>
                <w:szCs w:val="21"/>
              </w:rPr>
            </w:pPr>
            <w:r>
              <w:rPr>
                <w:rFonts w:eastAsia="宋体" w:cs="Times New Roman"/>
                <w:kern w:val="24"/>
                <w:sz w:val="21"/>
                <w:szCs w:val="21"/>
              </w:rPr>
              <w:t>废油漆桶</w:t>
            </w:r>
          </w:p>
        </w:tc>
        <w:tc>
          <w:tcPr>
            <w:tcW w:w="575" w:type="pct"/>
            <w:vAlign w:val="center"/>
          </w:tcPr>
          <w:p>
            <w:pPr>
              <w:adjustRightInd w:val="0"/>
              <w:snapToGrid w:val="0"/>
              <w:spacing w:line="240" w:lineRule="auto"/>
              <w:ind w:firstLine="0" w:firstLineChars="0"/>
              <w:jc w:val="center"/>
              <w:rPr>
                <w:rFonts w:eastAsia="宋体" w:cs="Times New Roman"/>
                <w:color w:val="000000"/>
                <w:sz w:val="21"/>
                <w:szCs w:val="21"/>
              </w:rPr>
            </w:pPr>
            <w:r>
              <w:rPr>
                <w:rFonts w:eastAsia="宋体" w:cs="Times New Roman"/>
                <w:color w:val="000000"/>
                <w:sz w:val="21"/>
                <w:szCs w:val="21"/>
              </w:rPr>
              <w:t>900-041-49</w:t>
            </w:r>
          </w:p>
        </w:tc>
        <w:tc>
          <w:tcPr>
            <w:tcW w:w="571" w:type="pct"/>
            <w:vAlign w:val="center"/>
          </w:tcPr>
          <w:p>
            <w:pPr>
              <w:adjustRightInd w:val="0"/>
              <w:snapToGrid w:val="0"/>
              <w:spacing w:line="240" w:lineRule="auto"/>
              <w:ind w:firstLine="0" w:firstLineChars="0"/>
              <w:jc w:val="center"/>
              <w:rPr>
                <w:rFonts w:eastAsia="宋体" w:cs="Times New Roman"/>
                <w:color w:val="000000"/>
                <w:sz w:val="21"/>
                <w:szCs w:val="21"/>
              </w:rPr>
            </w:pPr>
            <w:r>
              <w:rPr>
                <w:rFonts w:eastAsia="宋体" w:cs="Times New Roman"/>
                <w:color w:val="000000"/>
                <w:sz w:val="21"/>
                <w:szCs w:val="21"/>
              </w:rPr>
              <w:t>C15-C36的烷烃、多环芳烃（PAHs)、烯烃、苯系物、酚类等</w:t>
            </w:r>
          </w:p>
        </w:tc>
        <w:tc>
          <w:tcPr>
            <w:tcW w:w="503" w:type="pct"/>
            <w:vAlign w:val="center"/>
          </w:tcPr>
          <w:p>
            <w:pPr>
              <w:adjustRightInd w:val="0"/>
              <w:snapToGrid w:val="0"/>
              <w:spacing w:line="240" w:lineRule="auto"/>
              <w:ind w:firstLine="0" w:firstLineChars="0"/>
              <w:jc w:val="center"/>
              <w:rPr>
                <w:rFonts w:eastAsia="宋体" w:cs="Times New Roman"/>
                <w:kern w:val="24"/>
                <w:sz w:val="21"/>
                <w:szCs w:val="21"/>
              </w:rPr>
            </w:pPr>
            <w:r>
              <w:rPr>
                <w:rFonts w:eastAsia="宋体" w:cs="Times New Roman"/>
                <w:kern w:val="24"/>
                <w:sz w:val="21"/>
                <w:szCs w:val="21"/>
              </w:rPr>
              <w:t>毒性、感染性</w:t>
            </w:r>
          </w:p>
        </w:tc>
        <w:tc>
          <w:tcPr>
            <w:tcW w:w="553" w:type="pct"/>
            <w:vAlign w:val="center"/>
          </w:tcPr>
          <w:p>
            <w:pPr>
              <w:pStyle w:val="109"/>
              <w:snapToGrid w:val="0"/>
              <w:jc w:val="center"/>
              <w:rPr>
                <w:rFonts w:eastAsia="宋体"/>
                <w:color w:val="auto"/>
                <w:sz w:val="21"/>
                <w:szCs w:val="21"/>
              </w:rPr>
            </w:pPr>
            <w:r>
              <w:rPr>
                <w:rFonts w:eastAsia="宋体"/>
                <w:color w:val="auto"/>
                <w:sz w:val="21"/>
                <w:szCs w:val="21"/>
              </w:rPr>
              <w:t>0.106</w:t>
            </w:r>
          </w:p>
        </w:tc>
        <w:tc>
          <w:tcPr>
            <w:tcW w:w="464" w:type="pct"/>
            <w:vAlign w:val="center"/>
          </w:tcPr>
          <w:p>
            <w:pPr>
              <w:pStyle w:val="109"/>
              <w:snapToGrid w:val="0"/>
              <w:jc w:val="center"/>
              <w:rPr>
                <w:rFonts w:eastAsia="宋体"/>
                <w:color w:val="auto"/>
                <w:sz w:val="21"/>
                <w:szCs w:val="21"/>
              </w:rPr>
            </w:pPr>
            <w:r>
              <w:rPr>
                <w:rFonts w:hint="eastAsia" w:eastAsia="宋体"/>
                <w:color w:val="auto"/>
                <w:sz w:val="21"/>
                <w:szCs w:val="21"/>
              </w:rPr>
              <w:t>2.25306</w:t>
            </w:r>
          </w:p>
        </w:tc>
        <w:tc>
          <w:tcPr>
            <w:tcW w:w="406" w:type="pct"/>
            <w:tcBorders>
              <w:right w:val="single" w:color="000000" w:sz="2" w:space="0"/>
            </w:tcBorders>
            <w:vAlign w:val="center"/>
          </w:tcPr>
          <w:p>
            <w:pPr>
              <w:pStyle w:val="109"/>
              <w:snapToGrid w:val="0"/>
              <w:jc w:val="center"/>
              <w:rPr>
                <w:rFonts w:eastAsia="宋体"/>
                <w:color w:val="auto"/>
                <w:sz w:val="21"/>
                <w:szCs w:val="21"/>
              </w:rPr>
            </w:pPr>
            <w:r>
              <w:rPr>
                <w:rFonts w:hint="eastAsia" w:eastAsia="宋体"/>
                <w:color w:val="auto"/>
                <w:sz w:val="21"/>
                <w:szCs w:val="21"/>
              </w:rPr>
              <w:t>0</w:t>
            </w:r>
          </w:p>
        </w:tc>
        <w:tc>
          <w:tcPr>
            <w:tcW w:w="561" w:type="pct"/>
            <w:tcBorders>
              <w:left w:val="single" w:color="000000" w:sz="2" w:space="0"/>
              <w:right w:val="single" w:color="000000" w:sz="2" w:space="0"/>
            </w:tcBorders>
            <w:vAlign w:val="center"/>
          </w:tcPr>
          <w:p>
            <w:pPr>
              <w:pStyle w:val="109"/>
              <w:snapToGrid w:val="0"/>
              <w:jc w:val="center"/>
              <w:rPr>
                <w:rFonts w:eastAsia="宋体"/>
                <w:color w:val="auto"/>
                <w:sz w:val="21"/>
                <w:szCs w:val="21"/>
              </w:rPr>
            </w:pPr>
            <w:r>
              <w:rPr>
                <w:rFonts w:eastAsia="宋体"/>
                <w:color w:val="auto"/>
                <w:sz w:val="21"/>
                <w:szCs w:val="21"/>
              </w:rPr>
              <w:t>2.35906</w:t>
            </w:r>
          </w:p>
        </w:tc>
        <w:tc>
          <w:tcPr>
            <w:tcW w:w="309" w:type="pct"/>
            <w:tcBorders>
              <w:left w:val="single" w:color="000000" w:sz="2" w:space="0"/>
              <w:right w:val="single" w:color="000000" w:sz="2" w:space="0"/>
            </w:tcBorders>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委托</w:t>
            </w:r>
            <w:r>
              <w:rPr>
                <w:rFonts w:eastAsia="宋体" w:cs="Times New Roman"/>
                <w:color w:val="000000"/>
                <w:kern w:val="0"/>
                <w:sz w:val="21"/>
                <w:szCs w:val="21"/>
              </w:rPr>
              <w:t>处置</w:t>
            </w:r>
          </w:p>
        </w:tc>
        <w:tc>
          <w:tcPr>
            <w:tcW w:w="377" w:type="pct"/>
            <w:vMerge w:val="continue"/>
            <w:tcBorders>
              <w:left w:val="single" w:color="000000" w:sz="2" w:space="0"/>
            </w:tcBorders>
            <w:vAlign w:val="center"/>
          </w:tcPr>
          <w:p>
            <w:pPr>
              <w:adjustRightInd w:val="0"/>
              <w:snapToGrid w:val="0"/>
              <w:spacing w:line="240" w:lineRule="auto"/>
              <w:ind w:firstLine="0" w:firstLineChars="0"/>
              <w:jc w:val="center"/>
              <w:rPr>
                <w:rFonts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44" w:type="pct"/>
            <w:vAlign w:val="center"/>
          </w:tcPr>
          <w:p>
            <w:pPr>
              <w:adjustRightInd w:val="0"/>
              <w:snapToGrid w:val="0"/>
              <w:spacing w:line="240" w:lineRule="auto"/>
              <w:ind w:firstLine="0" w:firstLineChars="0"/>
              <w:jc w:val="center"/>
              <w:rPr>
                <w:rFonts w:eastAsia="宋体" w:cs="Times New Roman"/>
                <w:kern w:val="24"/>
                <w:sz w:val="21"/>
                <w:szCs w:val="21"/>
              </w:rPr>
            </w:pPr>
            <w:r>
              <w:rPr>
                <w:rFonts w:eastAsia="宋体" w:cs="Times New Roman"/>
                <w:kern w:val="24"/>
                <w:sz w:val="21"/>
                <w:szCs w:val="21"/>
              </w:rPr>
              <w:t>4</w:t>
            </w:r>
          </w:p>
        </w:tc>
        <w:tc>
          <w:tcPr>
            <w:tcW w:w="435" w:type="pct"/>
            <w:vAlign w:val="center"/>
          </w:tcPr>
          <w:p>
            <w:pPr>
              <w:adjustRightInd w:val="0"/>
              <w:snapToGrid w:val="0"/>
              <w:spacing w:line="240" w:lineRule="auto"/>
              <w:ind w:firstLine="0" w:firstLineChars="0"/>
              <w:jc w:val="center"/>
              <w:rPr>
                <w:rFonts w:eastAsia="宋体" w:cs="Times New Roman"/>
                <w:kern w:val="24"/>
                <w:sz w:val="21"/>
                <w:szCs w:val="21"/>
              </w:rPr>
            </w:pPr>
            <w:r>
              <w:rPr>
                <w:rFonts w:eastAsia="宋体" w:cs="Times New Roman"/>
                <w:kern w:val="24"/>
                <w:sz w:val="21"/>
                <w:szCs w:val="21"/>
              </w:rPr>
              <w:t>废油桶</w:t>
            </w:r>
          </w:p>
        </w:tc>
        <w:tc>
          <w:tcPr>
            <w:tcW w:w="575" w:type="pct"/>
            <w:vAlign w:val="center"/>
          </w:tcPr>
          <w:p>
            <w:pPr>
              <w:adjustRightInd w:val="0"/>
              <w:snapToGrid w:val="0"/>
              <w:spacing w:line="240" w:lineRule="auto"/>
              <w:ind w:firstLine="0" w:firstLineChars="0"/>
              <w:jc w:val="center"/>
              <w:rPr>
                <w:rFonts w:eastAsia="宋体" w:cs="Times New Roman"/>
                <w:kern w:val="24"/>
                <w:sz w:val="21"/>
                <w:szCs w:val="21"/>
              </w:rPr>
            </w:pPr>
            <w:r>
              <w:rPr>
                <w:rFonts w:eastAsia="宋体" w:cs="Times New Roman"/>
                <w:kern w:val="24"/>
                <w:sz w:val="21"/>
                <w:szCs w:val="21"/>
              </w:rPr>
              <w:t>900-249-08</w:t>
            </w:r>
          </w:p>
        </w:tc>
        <w:tc>
          <w:tcPr>
            <w:tcW w:w="571" w:type="pct"/>
            <w:vAlign w:val="center"/>
          </w:tcPr>
          <w:p>
            <w:pPr>
              <w:adjustRightInd w:val="0"/>
              <w:snapToGrid w:val="0"/>
              <w:spacing w:line="240" w:lineRule="auto"/>
              <w:ind w:firstLine="0" w:firstLineChars="0"/>
              <w:jc w:val="center"/>
              <w:rPr>
                <w:rFonts w:eastAsia="宋体" w:cs="Times New Roman"/>
                <w:kern w:val="24"/>
                <w:sz w:val="21"/>
                <w:szCs w:val="21"/>
              </w:rPr>
            </w:pPr>
            <w:r>
              <w:rPr>
                <w:rFonts w:eastAsia="宋体" w:cs="Times New Roman"/>
                <w:color w:val="000000"/>
                <w:sz w:val="21"/>
                <w:szCs w:val="21"/>
              </w:rPr>
              <w:t>C15-C36的烷烃、多环芳烃（PAHs)、烯烃、苯系物、酚类等</w:t>
            </w:r>
          </w:p>
        </w:tc>
        <w:tc>
          <w:tcPr>
            <w:tcW w:w="503" w:type="pct"/>
            <w:vAlign w:val="center"/>
          </w:tcPr>
          <w:p>
            <w:pPr>
              <w:adjustRightInd w:val="0"/>
              <w:snapToGrid w:val="0"/>
              <w:spacing w:line="240" w:lineRule="auto"/>
              <w:ind w:firstLine="0" w:firstLineChars="0"/>
              <w:jc w:val="center"/>
              <w:rPr>
                <w:rFonts w:eastAsia="宋体" w:cs="Times New Roman"/>
                <w:kern w:val="24"/>
                <w:sz w:val="21"/>
                <w:szCs w:val="21"/>
              </w:rPr>
            </w:pPr>
            <w:r>
              <w:rPr>
                <w:rFonts w:eastAsia="宋体" w:cs="Times New Roman"/>
                <w:kern w:val="24"/>
                <w:sz w:val="21"/>
                <w:szCs w:val="21"/>
              </w:rPr>
              <w:t>毒性、易燃性</w:t>
            </w:r>
          </w:p>
        </w:tc>
        <w:tc>
          <w:tcPr>
            <w:tcW w:w="553" w:type="pct"/>
            <w:vAlign w:val="center"/>
          </w:tcPr>
          <w:p>
            <w:pPr>
              <w:adjustRightInd w:val="0"/>
              <w:snapToGrid w:val="0"/>
              <w:spacing w:line="240" w:lineRule="auto"/>
              <w:ind w:firstLine="0" w:firstLineChars="0"/>
              <w:jc w:val="center"/>
              <w:rPr>
                <w:rFonts w:eastAsia="宋体" w:cs="Times New Roman"/>
                <w:kern w:val="24"/>
                <w:sz w:val="21"/>
                <w:szCs w:val="21"/>
              </w:rPr>
            </w:pPr>
            <w:r>
              <w:rPr>
                <w:rFonts w:eastAsia="宋体" w:cs="Times New Roman"/>
                <w:kern w:val="24"/>
                <w:sz w:val="21"/>
                <w:szCs w:val="21"/>
              </w:rPr>
              <w:t>1.743</w:t>
            </w:r>
          </w:p>
        </w:tc>
        <w:tc>
          <w:tcPr>
            <w:tcW w:w="464" w:type="pct"/>
            <w:vAlign w:val="center"/>
          </w:tcPr>
          <w:p>
            <w:pPr>
              <w:adjustRightInd w:val="0"/>
              <w:snapToGrid w:val="0"/>
              <w:spacing w:line="240" w:lineRule="auto"/>
              <w:ind w:firstLine="0" w:firstLineChars="0"/>
              <w:jc w:val="center"/>
              <w:rPr>
                <w:rFonts w:eastAsia="宋体" w:cs="Times New Roman"/>
                <w:kern w:val="24"/>
                <w:sz w:val="21"/>
                <w:szCs w:val="21"/>
              </w:rPr>
            </w:pPr>
            <w:r>
              <w:rPr>
                <w:rFonts w:hint="eastAsia" w:eastAsia="宋体" w:cs="Times New Roman"/>
                <w:sz w:val="21"/>
                <w:szCs w:val="21"/>
              </w:rPr>
              <w:t>5.8494</w:t>
            </w:r>
          </w:p>
        </w:tc>
        <w:tc>
          <w:tcPr>
            <w:tcW w:w="406" w:type="pct"/>
            <w:tcBorders>
              <w:right w:val="single" w:color="000000" w:sz="2" w:space="0"/>
            </w:tcBorders>
            <w:vAlign w:val="center"/>
          </w:tcPr>
          <w:p>
            <w:pPr>
              <w:adjustRightInd w:val="0"/>
              <w:snapToGrid w:val="0"/>
              <w:spacing w:line="240" w:lineRule="auto"/>
              <w:ind w:firstLine="0" w:firstLineChars="0"/>
              <w:jc w:val="center"/>
              <w:rPr>
                <w:rFonts w:eastAsia="宋体" w:cs="Times New Roman"/>
                <w:kern w:val="24"/>
                <w:sz w:val="21"/>
                <w:szCs w:val="21"/>
              </w:rPr>
            </w:pPr>
            <w:r>
              <w:rPr>
                <w:rFonts w:hint="eastAsia" w:cs="Times New Roman"/>
                <w:kern w:val="24"/>
                <w:szCs w:val="21"/>
              </w:rPr>
              <w:t>0</w:t>
            </w:r>
          </w:p>
        </w:tc>
        <w:tc>
          <w:tcPr>
            <w:tcW w:w="561" w:type="pct"/>
            <w:tcBorders>
              <w:left w:val="single" w:color="000000" w:sz="2" w:space="0"/>
              <w:right w:val="single" w:color="000000" w:sz="2" w:space="0"/>
            </w:tcBorders>
            <w:vAlign w:val="center"/>
          </w:tcPr>
          <w:p>
            <w:pPr>
              <w:adjustRightInd w:val="0"/>
              <w:snapToGrid w:val="0"/>
              <w:spacing w:line="240" w:lineRule="auto"/>
              <w:ind w:firstLine="0" w:firstLineChars="0"/>
              <w:jc w:val="center"/>
              <w:rPr>
                <w:rFonts w:eastAsia="宋体" w:cs="Times New Roman"/>
                <w:kern w:val="24"/>
                <w:sz w:val="21"/>
                <w:szCs w:val="21"/>
              </w:rPr>
            </w:pPr>
            <w:r>
              <w:rPr>
                <w:rFonts w:eastAsia="宋体" w:cs="Times New Roman"/>
                <w:kern w:val="24"/>
                <w:sz w:val="21"/>
                <w:szCs w:val="21"/>
              </w:rPr>
              <w:t>7.5924</w:t>
            </w:r>
          </w:p>
        </w:tc>
        <w:tc>
          <w:tcPr>
            <w:tcW w:w="309" w:type="pct"/>
            <w:tcBorders>
              <w:left w:val="single" w:color="000000" w:sz="2" w:space="0"/>
              <w:right w:val="single" w:color="000000" w:sz="2" w:space="0"/>
            </w:tcBorders>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委托</w:t>
            </w:r>
            <w:r>
              <w:rPr>
                <w:rFonts w:eastAsia="宋体" w:cs="Times New Roman"/>
                <w:color w:val="000000"/>
                <w:kern w:val="0"/>
                <w:sz w:val="21"/>
                <w:szCs w:val="21"/>
              </w:rPr>
              <w:t>处置</w:t>
            </w:r>
          </w:p>
        </w:tc>
        <w:tc>
          <w:tcPr>
            <w:tcW w:w="377" w:type="pct"/>
            <w:vMerge w:val="continue"/>
            <w:tcBorders>
              <w:left w:val="single" w:color="000000" w:sz="2" w:space="0"/>
            </w:tcBorders>
            <w:vAlign w:val="center"/>
          </w:tcPr>
          <w:p>
            <w:pPr>
              <w:adjustRightInd w:val="0"/>
              <w:snapToGrid w:val="0"/>
              <w:spacing w:line="240" w:lineRule="auto"/>
              <w:ind w:firstLine="0" w:firstLineChars="0"/>
              <w:jc w:val="center"/>
              <w:rPr>
                <w:rFonts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44" w:type="pct"/>
            <w:vAlign w:val="center"/>
          </w:tcPr>
          <w:p>
            <w:pPr>
              <w:adjustRightInd w:val="0"/>
              <w:snapToGrid w:val="0"/>
              <w:spacing w:line="240" w:lineRule="auto"/>
              <w:ind w:firstLine="0" w:firstLineChars="0"/>
              <w:jc w:val="center"/>
              <w:rPr>
                <w:rFonts w:eastAsia="宋体" w:cs="Times New Roman"/>
                <w:kern w:val="24"/>
                <w:sz w:val="21"/>
                <w:szCs w:val="21"/>
              </w:rPr>
            </w:pPr>
            <w:r>
              <w:rPr>
                <w:rFonts w:eastAsia="宋体" w:cs="Times New Roman"/>
                <w:kern w:val="24"/>
                <w:sz w:val="21"/>
                <w:szCs w:val="21"/>
              </w:rPr>
              <w:t>5</w:t>
            </w:r>
          </w:p>
        </w:tc>
        <w:tc>
          <w:tcPr>
            <w:tcW w:w="435" w:type="pct"/>
            <w:vAlign w:val="center"/>
          </w:tcPr>
          <w:p>
            <w:pPr>
              <w:adjustRightInd w:val="0"/>
              <w:snapToGrid w:val="0"/>
              <w:spacing w:line="240" w:lineRule="auto"/>
              <w:ind w:firstLine="0" w:firstLineChars="0"/>
              <w:jc w:val="center"/>
              <w:rPr>
                <w:rFonts w:eastAsia="宋体" w:cs="Times New Roman"/>
                <w:kern w:val="24"/>
                <w:sz w:val="21"/>
                <w:szCs w:val="21"/>
              </w:rPr>
            </w:pPr>
            <w:r>
              <w:rPr>
                <w:rFonts w:eastAsia="宋体" w:cs="Times New Roman"/>
                <w:sz w:val="21"/>
                <w:szCs w:val="21"/>
              </w:rPr>
              <w:t>药剂包装物（瓶、袋）</w:t>
            </w:r>
          </w:p>
        </w:tc>
        <w:tc>
          <w:tcPr>
            <w:tcW w:w="575" w:type="pct"/>
            <w:vAlign w:val="center"/>
          </w:tcPr>
          <w:p>
            <w:pPr>
              <w:adjustRightInd w:val="0"/>
              <w:snapToGrid w:val="0"/>
              <w:spacing w:line="240" w:lineRule="auto"/>
              <w:ind w:firstLine="0" w:firstLineChars="0"/>
              <w:jc w:val="center"/>
              <w:rPr>
                <w:rFonts w:eastAsia="宋体" w:cs="Times New Roman"/>
                <w:kern w:val="24"/>
                <w:sz w:val="21"/>
                <w:szCs w:val="21"/>
              </w:rPr>
            </w:pPr>
            <w:r>
              <w:rPr>
                <w:rFonts w:eastAsia="宋体" w:cs="Times New Roman"/>
                <w:kern w:val="24"/>
                <w:sz w:val="21"/>
                <w:szCs w:val="21"/>
              </w:rPr>
              <w:t>900-041-49</w:t>
            </w:r>
          </w:p>
        </w:tc>
        <w:tc>
          <w:tcPr>
            <w:tcW w:w="571" w:type="pct"/>
            <w:vAlign w:val="center"/>
          </w:tcPr>
          <w:p>
            <w:pPr>
              <w:adjustRightInd w:val="0"/>
              <w:snapToGrid w:val="0"/>
              <w:spacing w:line="240" w:lineRule="auto"/>
              <w:ind w:firstLine="0" w:firstLineChars="0"/>
              <w:jc w:val="center"/>
              <w:rPr>
                <w:rFonts w:eastAsia="宋体" w:cs="Times New Roman"/>
                <w:color w:val="000000"/>
                <w:sz w:val="21"/>
                <w:szCs w:val="21"/>
              </w:rPr>
            </w:pPr>
            <w:r>
              <w:rPr>
                <w:rFonts w:eastAsia="宋体" w:cs="Times New Roman"/>
                <w:color w:val="000000"/>
                <w:sz w:val="21"/>
                <w:szCs w:val="21"/>
              </w:rPr>
              <w:t>沾染的化学药剂</w:t>
            </w:r>
          </w:p>
        </w:tc>
        <w:tc>
          <w:tcPr>
            <w:tcW w:w="503" w:type="pct"/>
            <w:vAlign w:val="center"/>
          </w:tcPr>
          <w:p>
            <w:pPr>
              <w:adjustRightInd w:val="0"/>
              <w:snapToGrid w:val="0"/>
              <w:spacing w:line="240" w:lineRule="auto"/>
              <w:ind w:firstLine="0" w:firstLineChars="0"/>
              <w:jc w:val="center"/>
              <w:rPr>
                <w:rFonts w:eastAsia="宋体" w:cs="Times New Roman"/>
                <w:color w:val="000000"/>
                <w:sz w:val="21"/>
                <w:szCs w:val="21"/>
              </w:rPr>
            </w:pPr>
            <w:r>
              <w:rPr>
                <w:rFonts w:eastAsia="宋体" w:cs="Times New Roman"/>
                <w:color w:val="000000"/>
                <w:sz w:val="21"/>
                <w:szCs w:val="21"/>
              </w:rPr>
              <w:t>毒性、感染性</w:t>
            </w:r>
          </w:p>
        </w:tc>
        <w:tc>
          <w:tcPr>
            <w:tcW w:w="553" w:type="pct"/>
            <w:vAlign w:val="center"/>
          </w:tcPr>
          <w:p>
            <w:pPr>
              <w:pStyle w:val="109"/>
              <w:snapToGrid w:val="0"/>
              <w:jc w:val="center"/>
              <w:rPr>
                <w:rFonts w:eastAsia="宋体"/>
                <w:color w:val="auto"/>
                <w:sz w:val="21"/>
                <w:szCs w:val="21"/>
              </w:rPr>
            </w:pPr>
            <w:r>
              <w:rPr>
                <w:rFonts w:eastAsia="宋体"/>
                <w:color w:val="auto"/>
                <w:sz w:val="21"/>
                <w:szCs w:val="21"/>
              </w:rPr>
              <w:t>0.0235</w:t>
            </w:r>
          </w:p>
        </w:tc>
        <w:tc>
          <w:tcPr>
            <w:tcW w:w="464" w:type="pct"/>
            <w:vAlign w:val="center"/>
          </w:tcPr>
          <w:p>
            <w:pPr>
              <w:pStyle w:val="109"/>
              <w:snapToGrid w:val="0"/>
              <w:jc w:val="center"/>
              <w:rPr>
                <w:rFonts w:eastAsia="宋体"/>
                <w:color w:val="auto"/>
                <w:sz w:val="21"/>
                <w:szCs w:val="21"/>
              </w:rPr>
            </w:pPr>
            <w:r>
              <w:rPr>
                <w:rFonts w:hint="eastAsia" w:eastAsia="宋体"/>
                <w:color w:val="auto"/>
                <w:sz w:val="21"/>
                <w:szCs w:val="21"/>
              </w:rPr>
              <w:t>0.47144</w:t>
            </w:r>
          </w:p>
        </w:tc>
        <w:tc>
          <w:tcPr>
            <w:tcW w:w="406" w:type="pct"/>
            <w:tcBorders>
              <w:right w:val="single" w:color="000000" w:sz="2" w:space="0"/>
            </w:tcBorders>
            <w:vAlign w:val="center"/>
          </w:tcPr>
          <w:p>
            <w:pPr>
              <w:pStyle w:val="109"/>
              <w:snapToGrid w:val="0"/>
              <w:jc w:val="center"/>
              <w:rPr>
                <w:rFonts w:eastAsia="宋体"/>
                <w:color w:val="auto"/>
                <w:sz w:val="21"/>
                <w:szCs w:val="21"/>
              </w:rPr>
            </w:pPr>
            <w:r>
              <w:rPr>
                <w:rFonts w:hint="eastAsia" w:eastAsia="宋体"/>
                <w:color w:val="auto"/>
                <w:sz w:val="21"/>
                <w:szCs w:val="21"/>
              </w:rPr>
              <w:t>0</w:t>
            </w:r>
          </w:p>
        </w:tc>
        <w:tc>
          <w:tcPr>
            <w:tcW w:w="561" w:type="pct"/>
            <w:tcBorders>
              <w:left w:val="single" w:color="000000" w:sz="2" w:space="0"/>
              <w:right w:val="single" w:color="000000" w:sz="2" w:space="0"/>
            </w:tcBorders>
            <w:vAlign w:val="center"/>
          </w:tcPr>
          <w:p>
            <w:pPr>
              <w:pStyle w:val="109"/>
              <w:snapToGrid w:val="0"/>
              <w:jc w:val="center"/>
              <w:rPr>
                <w:rFonts w:eastAsia="宋体"/>
                <w:color w:val="auto"/>
                <w:sz w:val="21"/>
                <w:szCs w:val="21"/>
              </w:rPr>
            </w:pPr>
            <w:r>
              <w:rPr>
                <w:rFonts w:eastAsia="宋体"/>
                <w:color w:val="auto"/>
                <w:sz w:val="21"/>
                <w:szCs w:val="21"/>
              </w:rPr>
              <w:t>0.49494</w:t>
            </w:r>
          </w:p>
        </w:tc>
        <w:tc>
          <w:tcPr>
            <w:tcW w:w="309" w:type="pct"/>
            <w:tcBorders>
              <w:left w:val="single" w:color="000000" w:sz="2" w:space="0"/>
              <w:right w:val="single" w:color="000000" w:sz="2" w:space="0"/>
            </w:tcBorders>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委托</w:t>
            </w:r>
            <w:r>
              <w:rPr>
                <w:rFonts w:eastAsia="宋体" w:cs="Times New Roman"/>
                <w:color w:val="000000"/>
                <w:kern w:val="0"/>
                <w:sz w:val="21"/>
                <w:szCs w:val="21"/>
              </w:rPr>
              <w:t>处置</w:t>
            </w:r>
          </w:p>
        </w:tc>
        <w:tc>
          <w:tcPr>
            <w:tcW w:w="377" w:type="pct"/>
            <w:vMerge w:val="continue"/>
            <w:tcBorders>
              <w:left w:val="single" w:color="000000" w:sz="2" w:space="0"/>
            </w:tcBorders>
            <w:vAlign w:val="center"/>
          </w:tcPr>
          <w:p>
            <w:pPr>
              <w:adjustRightInd w:val="0"/>
              <w:snapToGrid w:val="0"/>
              <w:spacing w:line="240" w:lineRule="auto"/>
              <w:ind w:firstLine="0" w:firstLineChars="0"/>
              <w:jc w:val="center"/>
              <w:rPr>
                <w:rFonts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44" w:type="pct"/>
            <w:vAlign w:val="center"/>
          </w:tcPr>
          <w:p>
            <w:pPr>
              <w:adjustRightInd w:val="0"/>
              <w:snapToGrid w:val="0"/>
              <w:spacing w:line="240" w:lineRule="auto"/>
              <w:ind w:firstLine="0" w:firstLineChars="0"/>
              <w:jc w:val="center"/>
              <w:rPr>
                <w:rFonts w:eastAsia="宋体" w:cs="Times New Roman"/>
                <w:kern w:val="24"/>
                <w:sz w:val="21"/>
                <w:szCs w:val="21"/>
              </w:rPr>
            </w:pPr>
            <w:r>
              <w:rPr>
                <w:rFonts w:eastAsia="宋体" w:cs="Times New Roman"/>
                <w:kern w:val="24"/>
                <w:sz w:val="21"/>
                <w:szCs w:val="21"/>
              </w:rPr>
              <w:t>6</w:t>
            </w:r>
          </w:p>
        </w:tc>
        <w:tc>
          <w:tcPr>
            <w:tcW w:w="435" w:type="pct"/>
            <w:vAlign w:val="center"/>
          </w:tcPr>
          <w:p>
            <w:pPr>
              <w:adjustRightInd w:val="0"/>
              <w:snapToGrid w:val="0"/>
              <w:spacing w:line="240" w:lineRule="auto"/>
              <w:ind w:firstLine="0" w:firstLineChars="0"/>
              <w:jc w:val="center"/>
              <w:rPr>
                <w:rFonts w:eastAsia="宋体" w:cs="Times New Roman"/>
                <w:color w:val="000000"/>
                <w:sz w:val="21"/>
                <w:szCs w:val="21"/>
              </w:rPr>
            </w:pPr>
            <w:r>
              <w:rPr>
                <w:rFonts w:hint="eastAsia" w:eastAsia="宋体" w:cs="Times New Roman"/>
                <w:color w:val="000000"/>
                <w:sz w:val="21"/>
                <w:szCs w:val="21"/>
              </w:rPr>
              <w:t>实验室废试剂</w:t>
            </w:r>
          </w:p>
        </w:tc>
        <w:tc>
          <w:tcPr>
            <w:tcW w:w="575" w:type="pct"/>
            <w:vAlign w:val="center"/>
          </w:tcPr>
          <w:p>
            <w:pPr>
              <w:adjustRightInd w:val="0"/>
              <w:snapToGrid w:val="0"/>
              <w:spacing w:line="240" w:lineRule="auto"/>
              <w:ind w:firstLine="0" w:firstLineChars="0"/>
              <w:jc w:val="center"/>
              <w:rPr>
                <w:rFonts w:eastAsia="宋体" w:cs="Times New Roman"/>
                <w:color w:val="000000"/>
                <w:sz w:val="21"/>
                <w:szCs w:val="21"/>
              </w:rPr>
            </w:pPr>
            <w:r>
              <w:rPr>
                <w:rFonts w:eastAsia="宋体" w:cs="Times New Roman"/>
                <w:color w:val="000000"/>
                <w:sz w:val="21"/>
                <w:szCs w:val="21"/>
              </w:rPr>
              <w:t>900-999-49</w:t>
            </w:r>
          </w:p>
        </w:tc>
        <w:tc>
          <w:tcPr>
            <w:tcW w:w="571" w:type="pct"/>
            <w:vAlign w:val="center"/>
          </w:tcPr>
          <w:p>
            <w:pPr>
              <w:adjustRightInd w:val="0"/>
              <w:snapToGrid w:val="0"/>
              <w:spacing w:line="240" w:lineRule="auto"/>
              <w:ind w:firstLine="0" w:firstLineChars="0"/>
              <w:jc w:val="center"/>
              <w:rPr>
                <w:rFonts w:eastAsia="宋体" w:cs="Times New Roman"/>
                <w:color w:val="000000"/>
                <w:sz w:val="21"/>
                <w:szCs w:val="21"/>
              </w:rPr>
            </w:pPr>
            <w:r>
              <w:rPr>
                <w:rFonts w:hint="eastAsia" w:eastAsia="宋体" w:cs="Times New Roman"/>
                <w:color w:val="000000"/>
                <w:sz w:val="21"/>
                <w:szCs w:val="21"/>
              </w:rPr>
              <w:t>危险</w:t>
            </w:r>
            <w:r>
              <w:rPr>
                <w:rFonts w:eastAsia="宋体" w:cs="Times New Roman"/>
                <w:color w:val="000000"/>
                <w:sz w:val="21"/>
                <w:szCs w:val="21"/>
              </w:rPr>
              <w:t>化学品</w:t>
            </w:r>
          </w:p>
        </w:tc>
        <w:tc>
          <w:tcPr>
            <w:tcW w:w="503" w:type="pct"/>
            <w:vAlign w:val="center"/>
          </w:tcPr>
          <w:p>
            <w:pPr>
              <w:adjustRightInd w:val="0"/>
              <w:snapToGrid w:val="0"/>
              <w:spacing w:line="240" w:lineRule="auto"/>
              <w:ind w:firstLine="0" w:firstLineChars="0"/>
              <w:jc w:val="center"/>
              <w:rPr>
                <w:rFonts w:eastAsia="宋体" w:cs="Times New Roman"/>
                <w:color w:val="000000"/>
                <w:sz w:val="21"/>
                <w:szCs w:val="21"/>
              </w:rPr>
            </w:pPr>
            <w:r>
              <w:rPr>
                <w:rFonts w:eastAsia="宋体" w:cs="Times New Roman"/>
                <w:color w:val="000000"/>
                <w:sz w:val="21"/>
                <w:szCs w:val="21"/>
              </w:rPr>
              <w:t>毒性</w:t>
            </w:r>
          </w:p>
        </w:tc>
        <w:tc>
          <w:tcPr>
            <w:tcW w:w="553" w:type="pct"/>
            <w:vAlign w:val="center"/>
          </w:tcPr>
          <w:p>
            <w:pPr>
              <w:pStyle w:val="109"/>
              <w:snapToGrid w:val="0"/>
              <w:jc w:val="center"/>
              <w:rPr>
                <w:rFonts w:eastAsia="宋体"/>
                <w:color w:val="auto"/>
                <w:sz w:val="21"/>
                <w:szCs w:val="21"/>
              </w:rPr>
            </w:pPr>
            <w:r>
              <w:rPr>
                <w:rFonts w:eastAsia="宋体"/>
                <w:color w:val="auto"/>
                <w:sz w:val="21"/>
                <w:szCs w:val="21"/>
              </w:rPr>
              <w:t>0</w:t>
            </w:r>
          </w:p>
        </w:tc>
        <w:tc>
          <w:tcPr>
            <w:tcW w:w="464" w:type="pct"/>
            <w:vAlign w:val="center"/>
          </w:tcPr>
          <w:p>
            <w:pPr>
              <w:pStyle w:val="109"/>
              <w:snapToGrid w:val="0"/>
              <w:jc w:val="center"/>
              <w:rPr>
                <w:rFonts w:eastAsia="宋体"/>
                <w:color w:val="auto"/>
                <w:sz w:val="21"/>
                <w:szCs w:val="21"/>
              </w:rPr>
            </w:pPr>
            <w:r>
              <w:rPr>
                <w:rFonts w:eastAsia="宋体"/>
                <w:color w:val="auto"/>
                <w:sz w:val="21"/>
                <w:szCs w:val="21"/>
              </w:rPr>
              <w:t>0.05012</w:t>
            </w:r>
          </w:p>
        </w:tc>
        <w:tc>
          <w:tcPr>
            <w:tcW w:w="406" w:type="pct"/>
            <w:tcBorders>
              <w:right w:val="single" w:color="000000" w:sz="2" w:space="0"/>
            </w:tcBorders>
            <w:vAlign w:val="center"/>
          </w:tcPr>
          <w:p>
            <w:pPr>
              <w:pStyle w:val="109"/>
              <w:snapToGrid w:val="0"/>
              <w:jc w:val="center"/>
              <w:rPr>
                <w:rFonts w:eastAsia="宋体"/>
                <w:color w:val="auto"/>
                <w:sz w:val="21"/>
                <w:szCs w:val="21"/>
              </w:rPr>
            </w:pPr>
            <w:r>
              <w:rPr>
                <w:rFonts w:eastAsia="宋体"/>
                <w:color w:val="auto"/>
                <w:sz w:val="21"/>
                <w:szCs w:val="21"/>
              </w:rPr>
              <w:t>0</w:t>
            </w:r>
          </w:p>
        </w:tc>
        <w:tc>
          <w:tcPr>
            <w:tcW w:w="561" w:type="pct"/>
            <w:tcBorders>
              <w:left w:val="single" w:color="000000" w:sz="2" w:space="0"/>
              <w:right w:val="single" w:color="000000" w:sz="2" w:space="0"/>
            </w:tcBorders>
            <w:vAlign w:val="center"/>
          </w:tcPr>
          <w:p>
            <w:pPr>
              <w:pStyle w:val="109"/>
              <w:snapToGrid w:val="0"/>
              <w:jc w:val="center"/>
              <w:rPr>
                <w:rFonts w:eastAsia="宋体"/>
                <w:color w:val="auto"/>
                <w:sz w:val="21"/>
                <w:szCs w:val="21"/>
              </w:rPr>
            </w:pPr>
            <w:r>
              <w:rPr>
                <w:rFonts w:eastAsia="宋体"/>
                <w:color w:val="auto"/>
                <w:sz w:val="21"/>
                <w:szCs w:val="21"/>
              </w:rPr>
              <w:t>0.05012</w:t>
            </w:r>
          </w:p>
        </w:tc>
        <w:tc>
          <w:tcPr>
            <w:tcW w:w="309" w:type="pct"/>
            <w:tcBorders>
              <w:left w:val="single" w:color="000000" w:sz="2" w:space="0"/>
              <w:right w:val="single" w:color="000000" w:sz="2" w:space="0"/>
            </w:tcBorders>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委托</w:t>
            </w:r>
            <w:r>
              <w:rPr>
                <w:rFonts w:eastAsia="宋体" w:cs="Times New Roman"/>
                <w:color w:val="000000"/>
                <w:kern w:val="0"/>
                <w:sz w:val="21"/>
                <w:szCs w:val="21"/>
              </w:rPr>
              <w:t>处置</w:t>
            </w:r>
          </w:p>
        </w:tc>
        <w:tc>
          <w:tcPr>
            <w:tcW w:w="377" w:type="pct"/>
            <w:vMerge w:val="continue"/>
            <w:tcBorders>
              <w:left w:val="single" w:color="000000" w:sz="2" w:space="0"/>
            </w:tcBorders>
            <w:vAlign w:val="center"/>
          </w:tcPr>
          <w:p>
            <w:pPr>
              <w:adjustRightInd w:val="0"/>
              <w:snapToGrid w:val="0"/>
              <w:spacing w:line="240" w:lineRule="auto"/>
              <w:ind w:firstLine="0" w:firstLineChars="0"/>
              <w:jc w:val="center"/>
              <w:rPr>
                <w:rFonts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44" w:type="pct"/>
            <w:vAlign w:val="center"/>
          </w:tcPr>
          <w:p>
            <w:pPr>
              <w:adjustRightInd w:val="0"/>
              <w:snapToGrid w:val="0"/>
              <w:spacing w:line="240" w:lineRule="auto"/>
              <w:ind w:firstLine="0" w:firstLineChars="0"/>
              <w:jc w:val="center"/>
              <w:rPr>
                <w:rFonts w:eastAsia="宋体" w:cs="Times New Roman"/>
                <w:kern w:val="24"/>
                <w:sz w:val="21"/>
                <w:szCs w:val="21"/>
              </w:rPr>
            </w:pPr>
            <w:r>
              <w:rPr>
                <w:rFonts w:eastAsia="宋体" w:cs="Times New Roman"/>
                <w:kern w:val="24"/>
                <w:sz w:val="21"/>
                <w:szCs w:val="21"/>
              </w:rPr>
              <w:t>7</w:t>
            </w:r>
          </w:p>
        </w:tc>
        <w:tc>
          <w:tcPr>
            <w:tcW w:w="435" w:type="pct"/>
            <w:vAlign w:val="center"/>
          </w:tcPr>
          <w:p>
            <w:pPr>
              <w:adjustRightInd w:val="0"/>
              <w:snapToGrid w:val="0"/>
              <w:spacing w:line="240" w:lineRule="auto"/>
              <w:ind w:firstLine="0" w:firstLineChars="0"/>
              <w:jc w:val="center"/>
              <w:rPr>
                <w:rFonts w:eastAsia="宋体" w:cs="Times New Roman"/>
                <w:kern w:val="24"/>
                <w:sz w:val="21"/>
                <w:szCs w:val="21"/>
              </w:rPr>
            </w:pPr>
            <w:r>
              <w:rPr>
                <w:rFonts w:eastAsia="宋体" w:cs="Times New Roman"/>
                <w:kern w:val="24"/>
                <w:sz w:val="21"/>
                <w:szCs w:val="21"/>
              </w:rPr>
              <w:t>化验室废酸</w:t>
            </w:r>
          </w:p>
        </w:tc>
        <w:tc>
          <w:tcPr>
            <w:tcW w:w="575" w:type="pct"/>
            <w:vAlign w:val="center"/>
          </w:tcPr>
          <w:p>
            <w:pPr>
              <w:adjustRightInd w:val="0"/>
              <w:snapToGrid w:val="0"/>
              <w:spacing w:line="240" w:lineRule="auto"/>
              <w:ind w:firstLine="0" w:firstLineChars="0"/>
              <w:jc w:val="center"/>
              <w:rPr>
                <w:rFonts w:eastAsia="宋体" w:cs="Times New Roman"/>
                <w:kern w:val="24"/>
                <w:sz w:val="21"/>
                <w:szCs w:val="21"/>
              </w:rPr>
            </w:pPr>
            <w:r>
              <w:rPr>
                <w:rFonts w:eastAsia="宋体" w:cs="Times New Roman"/>
                <w:kern w:val="24"/>
                <w:sz w:val="21"/>
                <w:szCs w:val="21"/>
              </w:rPr>
              <w:t>900-349-34</w:t>
            </w:r>
          </w:p>
        </w:tc>
        <w:tc>
          <w:tcPr>
            <w:tcW w:w="571" w:type="pct"/>
            <w:vAlign w:val="center"/>
          </w:tcPr>
          <w:p>
            <w:pPr>
              <w:adjustRightInd w:val="0"/>
              <w:snapToGrid w:val="0"/>
              <w:spacing w:line="240" w:lineRule="auto"/>
              <w:ind w:firstLine="0" w:firstLineChars="0"/>
              <w:jc w:val="center"/>
              <w:rPr>
                <w:rFonts w:eastAsia="宋体" w:cs="Times New Roman"/>
                <w:kern w:val="24"/>
                <w:sz w:val="21"/>
                <w:szCs w:val="21"/>
              </w:rPr>
            </w:pPr>
            <w:r>
              <w:rPr>
                <w:rFonts w:eastAsia="宋体" w:cs="Times New Roman"/>
                <w:kern w:val="24"/>
                <w:sz w:val="21"/>
                <w:szCs w:val="21"/>
              </w:rPr>
              <w:t>废酸</w:t>
            </w:r>
          </w:p>
        </w:tc>
        <w:tc>
          <w:tcPr>
            <w:tcW w:w="503" w:type="pct"/>
            <w:vAlign w:val="center"/>
          </w:tcPr>
          <w:p>
            <w:pPr>
              <w:adjustRightInd w:val="0"/>
              <w:snapToGrid w:val="0"/>
              <w:spacing w:line="240" w:lineRule="auto"/>
              <w:ind w:firstLine="0" w:firstLineChars="0"/>
              <w:jc w:val="center"/>
              <w:rPr>
                <w:rFonts w:eastAsia="宋体" w:cs="Times New Roman"/>
                <w:kern w:val="24"/>
                <w:sz w:val="21"/>
                <w:szCs w:val="21"/>
              </w:rPr>
            </w:pPr>
            <w:r>
              <w:rPr>
                <w:rFonts w:eastAsia="宋体" w:cs="Times New Roman"/>
                <w:kern w:val="24"/>
                <w:sz w:val="21"/>
                <w:szCs w:val="21"/>
              </w:rPr>
              <w:t>腐蚀性、反应性</w:t>
            </w:r>
          </w:p>
        </w:tc>
        <w:tc>
          <w:tcPr>
            <w:tcW w:w="553" w:type="pct"/>
            <w:vAlign w:val="center"/>
          </w:tcPr>
          <w:p>
            <w:pPr>
              <w:pStyle w:val="109"/>
              <w:snapToGrid w:val="0"/>
              <w:jc w:val="center"/>
              <w:rPr>
                <w:rFonts w:eastAsia="宋体"/>
                <w:color w:val="auto"/>
                <w:sz w:val="21"/>
                <w:szCs w:val="21"/>
              </w:rPr>
            </w:pPr>
            <w:r>
              <w:rPr>
                <w:rFonts w:eastAsia="宋体"/>
                <w:color w:val="auto"/>
                <w:sz w:val="21"/>
                <w:szCs w:val="21"/>
              </w:rPr>
              <w:t>0</w:t>
            </w:r>
          </w:p>
        </w:tc>
        <w:tc>
          <w:tcPr>
            <w:tcW w:w="464" w:type="pct"/>
            <w:vAlign w:val="center"/>
          </w:tcPr>
          <w:p>
            <w:pPr>
              <w:pStyle w:val="109"/>
              <w:snapToGrid w:val="0"/>
              <w:jc w:val="center"/>
              <w:rPr>
                <w:rFonts w:eastAsia="宋体"/>
                <w:color w:val="auto"/>
                <w:sz w:val="21"/>
                <w:szCs w:val="21"/>
              </w:rPr>
            </w:pPr>
            <w:r>
              <w:rPr>
                <w:rFonts w:eastAsia="宋体"/>
                <w:color w:val="auto"/>
                <w:sz w:val="21"/>
                <w:szCs w:val="21"/>
              </w:rPr>
              <w:t>18.75</w:t>
            </w:r>
          </w:p>
        </w:tc>
        <w:tc>
          <w:tcPr>
            <w:tcW w:w="406" w:type="pct"/>
            <w:tcBorders>
              <w:right w:val="single" w:color="000000" w:sz="2" w:space="0"/>
            </w:tcBorders>
            <w:vAlign w:val="center"/>
          </w:tcPr>
          <w:p>
            <w:pPr>
              <w:pStyle w:val="109"/>
              <w:snapToGrid w:val="0"/>
              <w:jc w:val="center"/>
              <w:rPr>
                <w:rFonts w:eastAsia="宋体"/>
                <w:color w:val="auto"/>
                <w:sz w:val="21"/>
                <w:szCs w:val="21"/>
              </w:rPr>
            </w:pPr>
            <w:r>
              <w:rPr>
                <w:rFonts w:eastAsia="宋体"/>
                <w:color w:val="auto"/>
                <w:sz w:val="21"/>
                <w:szCs w:val="21"/>
              </w:rPr>
              <w:t>0</w:t>
            </w:r>
          </w:p>
        </w:tc>
        <w:tc>
          <w:tcPr>
            <w:tcW w:w="561" w:type="pct"/>
            <w:tcBorders>
              <w:left w:val="single" w:color="000000" w:sz="2" w:space="0"/>
              <w:right w:val="single" w:color="000000" w:sz="2" w:space="0"/>
            </w:tcBorders>
            <w:vAlign w:val="center"/>
          </w:tcPr>
          <w:p>
            <w:pPr>
              <w:pStyle w:val="109"/>
              <w:snapToGrid w:val="0"/>
              <w:jc w:val="center"/>
              <w:rPr>
                <w:rFonts w:eastAsia="宋体"/>
                <w:color w:val="auto"/>
                <w:sz w:val="21"/>
                <w:szCs w:val="21"/>
              </w:rPr>
            </w:pPr>
            <w:r>
              <w:rPr>
                <w:rFonts w:eastAsia="宋体"/>
                <w:color w:val="auto"/>
                <w:sz w:val="21"/>
                <w:szCs w:val="21"/>
              </w:rPr>
              <w:t>18.75</w:t>
            </w:r>
          </w:p>
        </w:tc>
        <w:tc>
          <w:tcPr>
            <w:tcW w:w="309" w:type="pct"/>
            <w:tcBorders>
              <w:left w:val="single" w:color="000000" w:sz="2" w:space="0"/>
              <w:right w:val="single" w:color="000000" w:sz="2" w:space="0"/>
            </w:tcBorders>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自行利用</w:t>
            </w:r>
          </w:p>
        </w:tc>
        <w:tc>
          <w:tcPr>
            <w:tcW w:w="377" w:type="pct"/>
            <w:tcBorders>
              <w:left w:val="single" w:color="000000" w:sz="2" w:space="0"/>
            </w:tcBorders>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回用于酸雾吸收塔</w:t>
            </w:r>
          </w:p>
        </w:tc>
      </w:tr>
    </w:tbl>
    <w:p>
      <w:pPr>
        <w:ind w:firstLine="480"/>
        <w:rPr>
          <w:rFonts w:cs="Times New Roman"/>
        </w:rPr>
      </w:pPr>
      <w:r>
        <w:rPr>
          <w:rFonts w:cs="Times New Roman"/>
        </w:rPr>
        <w:t>（2）贮存、处置场所或设施</w:t>
      </w:r>
    </w:p>
    <w:p>
      <w:pPr>
        <w:ind w:firstLine="480"/>
        <w:rPr>
          <w:rFonts w:cs="Times New Roman"/>
        </w:rPr>
      </w:pPr>
      <w:r>
        <w:rPr>
          <w:rFonts w:hint="eastAsia" w:cs="Times New Roman"/>
        </w:rPr>
        <w:t>曙光金铜矿</w:t>
      </w:r>
      <w:r>
        <w:rPr>
          <w:rFonts w:cs="Times New Roman"/>
        </w:rPr>
        <w:t>产生的危险废物在转移处置前在</w:t>
      </w:r>
      <w:r>
        <w:rPr>
          <w:rFonts w:hint="eastAsia" w:cs="Times New Roman"/>
        </w:rPr>
        <w:t>危险废物贮存库内分区</w:t>
      </w:r>
      <w:r>
        <w:rPr>
          <w:rFonts w:cs="Times New Roman"/>
        </w:rPr>
        <w:t>暂存，</w:t>
      </w:r>
      <w:r>
        <w:rPr>
          <w:rFonts w:cs="Times New Roman"/>
          <w:kern w:val="0"/>
          <w:szCs w:val="24"/>
        </w:rPr>
        <w:t>危险废物贮存场所按重点防渗区要求进行了防渗，符合《危险废物贮存污染控制标准》（GB18597-2001）的相关规定。</w:t>
      </w:r>
      <w:r>
        <w:rPr>
          <w:rFonts w:cs="Times New Roman"/>
        </w:rPr>
        <w:t>具</w:t>
      </w:r>
      <w:r>
        <w:rPr>
          <w:rFonts w:cs="Times New Roman"/>
          <w:color w:val="000000" w:themeColor="text1"/>
          <w14:textFill>
            <w14:solidFill>
              <w14:schemeClr w14:val="tx1"/>
            </w14:solidFill>
          </w14:textFill>
        </w:rPr>
        <w:t>体信息见表5.3-4。</w:t>
      </w:r>
    </w:p>
    <w:p>
      <w:pPr>
        <w:ind w:firstLine="0" w:firstLineChars="0"/>
        <w:jc w:val="center"/>
        <w:rPr>
          <w:rFonts w:eastAsia="黑体" w:cs="Times New Roman"/>
        </w:rPr>
      </w:pPr>
      <w:r>
        <w:rPr>
          <w:rFonts w:eastAsia="黑体" w:cs="Times New Roman"/>
        </w:rPr>
        <w:t xml:space="preserve">表5.3-4 </w:t>
      </w:r>
      <w:r>
        <w:rPr>
          <w:rFonts w:hint="eastAsia" w:eastAsia="黑体" w:cs="Times New Roman"/>
        </w:rPr>
        <w:t xml:space="preserve"> </w:t>
      </w:r>
      <w:r>
        <w:rPr>
          <w:rFonts w:eastAsia="黑体" w:cs="Times New Roman"/>
        </w:rPr>
        <w:t>危险废物贮存场所信息汇总表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440"/>
        <w:gridCol w:w="1703"/>
        <w:gridCol w:w="566"/>
        <w:gridCol w:w="849"/>
        <w:gridCol w:w="1135"/>
        <w:gridCol w:w="1702"/>
        <w:gridCol w:w="194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264" w:type="pct"/>
            <w:vMerge w:val="restar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序号</w:t>
            </w:r>
          </w:p>
        </w:tc>
        <w:tc>
          <w:tcPr>
            <w:tcW w:w="1021" w:type="pct"/>
            <w:vMerge w:val="restar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设施名称</w:t>
            </w:r>
          </w:p>
        </w:tc>
        <w:tc>
          <w:tcPr>
            <w:tcW w:w="339" w:type="pct"/>
            <w:vMerge w:val="restar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设施编号</w:t>
            </w:r>
          </w:p>
        </w:tc>
        <w:tc>
          <w:tcPr>
            <w:tcW w:w="509" w:type="pct"/>
            <w:vMerge w:val="restar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面积（m</w:t>
            </w:r>
            <w:r>
              <w:rPr>
                <w:rFonts w:eastAsia="宋体" w:cs="Times New Roman"/>
                <w:sz w:val="21"/>
                <w:szCs w:val="21"/>
                <w:vertAlign w:val="superscript"/>
              </w:rPr>
              <w:t>2</w:t>
            </w:r>
            <w:r>
              <w:rPr>
                <w:rFonts w:eastAsia="宋体" w:cs="Times New Roman"/>
                <w:sz w:val="21"/>
                <w:szCs w:val="21"/>
              </w:rPr>
              <w:t>）</w:t>
            </w:r>
          </w:p>
        </w:tc>
        <w:tc>
          <w:tcPr>
            <w:tcW w:w="680" w:type="pct"/>
            <w:vMerge w:val="restar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设计储存量</w:t>
            </w:r>
          </w:p>
        </w:tc>
        <w:tc>
          <w:tcPr>
            <w:tcW w:w="2187" w:type="pct"/>
            <w:gridSpan w:val="2"/>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位置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264" w:type="pct"/>
            <w:vMerge w:val="continue"/>
            <w:vAlign w:val="center"/>
          </w:tcPr>
          <w:p>
            <w:pPr>
              <w:adjustRightInd w:val="0"/>
              <w:snapToGrid w:val="0"/>
              <w:spacing w:line="240" w:lineRule="auto"/>
              <w:ind w:firstLine="0" w:firstLineChars="0"/>
              <w:jc w:val="center"/>
              <w:rPr>
                <w:rFonts w:eastAsia="宋体" w:cs="Times New Roman"/>
                <w:sz w:val="21"/>
                <w:szCs w:val="21"/>
              </w:rPr>
            </w:pPr>
          </w:p>
        </w:tc>
        <w:tc>
          <w:tcPr>
            <w:tcW w:w="1021" w:type="pct"/>
            <w:vMerge w:val="continue"/>
            <w:vAlign w:val="center"/>
          </w:tcPr>
          <w:p>
            <w:pPr>
              <w:adjustRightInd w:val="0"/>
              <w:snapToGrid w:val="0"/>
              <w:spacing w:line="240" w:lineRule="auto"/>
              <w:ind w:firstLine="0" w:firstLineChars="0"/>
              <w:jc w:val="center"/>
              <w:rPr>
                <w:rFonts w:eastAsia="宋体" w:cs="Times New Roman"/>
                <w:sz w:val="21"/>
                <w:szCs w:val="21"/>
              </w:rPr>
            </w:pPr>
          </w:p>
        </w:tc>
        <w:tc>
          <w:tcPr>
            <w:tcW w:w="339" w:type="pct"/>
            <w:vMerge w:val="continue"/>
            <w:vAlign w:val="center"/>
          </w:tcPr>
          <w:p>
            <w:pPr>
              <w:adjustRightInd w:val="0"/>
              <w:snapToGrid w:val="0"/>
              <w:spacing w:line="240" w:lineRule="auto"/>
              <w:ind w:firstLine="0" w:firstLineChars="0"/>
              <w:jc w:val="center"/>
              <w:rPr>
                <w:rFonts w:eastAsia="宋体" w:cs="Times New Roman"/>
                <w:sz w:val="21"/>
                <w:szCs w:val="21"/>
              </w:rPr>
            </w:pPr>
          </w:p>
        </w:tc>
        <w:tc>
          <w:tcPr>
            <w:tcW w:w="509" w:type="pct"/>
            <w:vMerge w:val="continue"/>
            <w:vAlign w:val="center"/>
          </w:tcPr>
          <w:p>
            <w:pPr>
              <w:adjustRightInd w:val="0"/>
              <w:snapToGrid w:val="0"/>
              <w:spacing w:line="240" w:lineRule="auto"/>
              <w:ind w:firstLine="0" w:firstLineChars="0"/>
              <w:jc w:val="center"/>
              <w:rPr>
                <w:rFonts w:eastAsia="宋体" w:cs="Times New Roman"/>
                <w:sz w:val="21"/>
                <w:szCs w:val="21"/>
              </w:rPr>
            </w:pPr>
          </w:p>
        </w:tc>
        <w:tc>
          <w:tcPr>
            <w:tcW w:w="680" w:type="pct"/>
            <w:vMerge w:val="continue"/>
            <w:vAlign w:val="center"/>
          </w:tcPr>
          <w:p>
            <w:pPr>
              <w:adjustRightInd w:val="0"/>
              <w:snapToGrid w:val="0"/>
              <w:spacing w:line="240" w:lineRule="auto"/>
              <w:ind w:firstLine="0" w:firstLineChars="0"/>
              <w:jc w:val="center"/>
              <w:rPr>
                <w:rFonts w:eastAsia="宋体" w:cs="Times New Roman"/>
                <w:sz w:val="21"/>
                <w:szCs w:val="21"/>
              </w:rPr>
            </w:pPr>
          </w:p>
        </w:tc>
        <w:tc>
          <w:tcPr>
            <w:tcW w:w="1020"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经度</w:t>
            </w:r>
          </w:p>
        </w:tc>
        <w:tc>
          <w:tcPr>
            <w:tcW w:w="1167"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纬度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264"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1</w:t>
            </w:r>
          </w:p>
        </w:tc>
        <w:tc>
          <w:tcPr>
            <w:tcW w:w="1021"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危险废物贮存库</w:t>
            </w:r>
          </w:p>
        </w:tc>
        <w:tc>
          <w:tcPr>
            <w:tcW w:w="339" w:type="pct"/>
            <w:vAlign w:val="center"/>
          </w:tcPr>
          <w:p>
            <w:pPr>
              <w:autoSpaceDE w:val="0"/>
              <w:autoSpaceDN w:val="0"/>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w:t>
            </w:r>
          </w:p>
        </w:tc>
        <w:tc>
          <w:tcPr>
            <w:tcW w:w="509" w:type="pct"/>
            <w:vAlign w:val="center"/>
          </w:tcPr>
          <w:p>
            <w:pPr>
              <w:adjustRightInd w:val="0"/>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120</w:t>
            </w:r>
          </w:p>
        </w:tc>
        <w:tc>
          <w:tcPr>
            <w:tcW w:w="680"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30t</w:t>
            </w:r>
          </w:p>
        </w:tc>
        <w:tc>
          <w:tcPr>
            <w:tcW w:w="1020"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130°31'48''</w:t>
            </w:r>
          </w:p>
        </w:tc>
        <w:tc>
          <w:tcPr>
            <w:tcW w:w="1167" w:type="pct"/>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43°7'12''</w:t>
            </w:r>
          </w:p>
        </w:tc>
      </w:tr>
    </w:tbl>
    <w:p>
      <w:pPr>
        <w:ind w:firstLine="480"/>
        <w:rPr>
          <w:rFonts w:cs="Times New Roman"/>
        </w:rPr>
      </w:pPr>
      <w:r>
        <w:rPr>
          <w:rFonts w:cs="Times New Roman"/>
        </w:rPr>
        <w:t>（3）委托他人利用和处置情况</w:t>
      </w:r>
    </w:p>
    <w:p>
      <w:pPr>
        <w:ind w:firstLine="0" w:firstLineChars="0"/>
        <w:jc w:val="center"/>
        <w:rPr>
          <w:rFonts w:eastAsia="黑体" w:cs="Times New Roman"/>
        </w:rPr>
      </w:pPr>
      <w:r>
        <w:rPr>
          <w:rFonts w:eastAsia="黑体" w:cs="Times New Roman"/>
        </w:rPr>
        <w:t>表5.3-</w:t>
      </w:r>
      <w:r>
        <w:rPr>
          <w:rFonts w:hint="eastAsia" w:eastAsia="黑体" w:cs="Times New Roman"/>
        </w:rPr>
        <w:t>5</w:t>
      </w:r>
      <w:r>
        <w:rPr>
          <w:rFonts w:eastAsia="黑体" w:cs="Times New Roman"/>
        </w:rPr>
        <w:t xml:space="preserve"> </w:t>
      </w:r>
      <w:r>
        <w:rPr>
          <w:rFonts w:hint="eastAsia" w:eastAsia="黑体" w:cs="Times New Roman"/>
        </w:rPr>
        <w:t xml:space="preserve"> 2022年</w:t>
      </w:r>
      <w:r>
        <w:rPr>
          <w:rFonts w:eastAsia="黑体" w:cs="Times New Roman"/>
        </w:rPr>
        <w:t>危险废物</w:t>
      </w:r>
      <w:r>
        <w:rPr>
          <w:rFonts w:hint="eastAsia" w:eastAsia="黑体" w:cs="Times New Roman"/>
        </w:rPr>
        <w:t>委托利用处置情况</w:t>
      </w:r>
      <w:r>
        <w:rPr>
          <w:rFonts w:eastAsia="黑体" w:cs="Times New Roman"/>
        </w:rPr>
        <w:t>汇总表</w:t>
      </w:r>
    </w:p>
    <w:tbl>
      <w:tblPr>
        <w:tblStyle w:val="43"/>
        <w:tblW w:w="508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7"/>
        <w:gridCol w:w="991"/>
        <w:gridCol w:w="3403"/>
        <w:gridCol w:w="1701"/>
        <w:gridCol w:w="851"/>
        <w:gridCol w:w="9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trPr>
        <w:tc>
          <w:tcPr>
            <w:tcW w:w="471" w:type="pct"/>
            <w:vMerge w:val="restart"/>
            <w:shd w:val="clear" w:color="auto" w:fill="auto"/>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受托单位名称</w:t>
            </w:r>
          </w:p>
        </w:tc>
        <w:tc>
          <w:tcPr>
            <w:tcW w:w="2531" w:type="pct"/>
            <w:gridSpan w:val="2"/>
            <w:shd w:val="clear" w:color="auto" w:fill="auto"/>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资质</w:t>
            </w:r>
          </w:p>
        </w:tc>
        <w:tc>
          <w:tcPr>
            <w:tcW w:w="980" w:type="pct"/>
            <w:vMerge w:val="restart"/>
            <w:shd w:val="clear" w:color="auto" w:fill="auto"/>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转移联单号</w:t>
            </w:r>
          </w:p>
        </w:tc>
        <w:tc>
          <w:tcPr>
            <w:tcW w:w="490" w:type="pct"/>
            <w:vMerge w:val="restart"/>
            <w:shd w:val="clear" w:color="auto" w:fill="auto"/>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危险废物种类</w:t>
            </w:r>
          </w:p>
        </w:tc>
        <w:tc>
          <w:tcPr>
            <w:tcW w:w="528" w:type="pct"/>
            <w:vMerge w:val="restart"/>
            <w:shd w:val="clear" w:color="auto" w:fill="auto"/>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处置量（t）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471" w:type="pct"/>
            <w:vMerge w:val="continue"/>
            <w:shd w:val="clear" w:color="auto" w:fill="auto"/>
            <w:vAlign w:val="center"/>
          </w:tcPr>
          <w:p>
            <w:pPr>
              <w:widowControl/>
              <w:snapToGrid w:val="0"/>
              <w:spacing w:line="240" w:lineRule="auto"/>
              <w:ind w:firstLine="0" w:firstLineChars="0"/>
              <w:jc w:val="center"/>
              <w:rPr>
                <w:rFonts w:eastAsia="宋体" w:cs="Times New Roman"/>
                <w:color w:val="000000"/>
                <w:kern w:val="0"/>
                <w:sz w:val="21"/>
                <w:szCs w:val="21"/>
              </w:rPr>
            </w:pPr>
          </w:p>
        </w:tc>
        <w:tc>
          <w:tcPr>
            <w:tcW w:w="571" w:type="pct"/>
            <w:shd w:val="clear" w:color="auto" w:fill="auto"/>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sz w:val="21"/>
                <w:szCs w:val="21"/>
              </w:rPr>
              <w:t>危险废物经营许可证</w:t>
            </w:r>
          </w:p>
        </w:tc>
        <w:tc>
          <w:tcPr>
            <w:tcW w:w="1960" w:type="pct"/>
            <w:shd w:val="clear" w:color="auto" w:fill="auto"/>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核准经营类别及经营规模</w:t>
            </w:r>
          </w:p>
        </w:tc>
        <w:tc>
          <w:tcPr>
            <w:tcW w:w="980" w:type="pct"/>
            <w:vMerge w:val="continue"/>
            <w:shd w:val="clear" w:color="auto" w:fill="auto"/>
            <w:vAlign w:val="center"/>
          </w:tcPr>
          <w:p>
            <w:pPr>
              <w:widowControl/>
              <w:snapToGrid w:val="0"/>
              <w:spacing w:line="240" w:lineRule="auto"/>
              <w:ind w:firstLine="0" w:firstLineChars="0"/>
              <w:jc w:val="center"/>
              <w:rPr>
                <w:rFonts w:eastAsia="宋体" w:cs="Times New Roman"/>
                <w:color w:val="000000"/>
                <w:kern w:val="0"/>
                <w:sz w:val="21"/>
                <w:szCs w:val="21"/>
              </w:rPr>
            </w:pPr>
          </w:p>
        </w:tc>
        <w:tc>
          <w:tcPr>
            <w:tcW w:w="490" w:type="pct"/>
            <w:vMerge w:val="continue"/>
            <w:shd w:val="clear" w:color="auto" w:fill="auto"/>
            <w:vAlign w:val="center"/>
          </w:tcPr>
          <w:p>
            <w:pPr>
              <w:widowControl/>
              <w:snapToGrid w:val="0"/>
              <w:spacing w:line="240" w:lineRule="auto"/>
              <w:ind w:firstLine="0" w:firstLineChars="0"/>
              <w:jc w:val="center"/>
              <w:rPr>
                <w:rFonts w:eastAsia="宋体" w:cs="Times New Roman"/>
                <w:color w:val="000000"/>
                <w:kern w:val="0"/>
                <w:sz w:val="21"/>
                <w:szCs w:val="21"/>
              </w:rPr>
            </w:pPr>
          </w:p>
        </w:tc>
        <w:tc>
          <w:tcPr>
            <w:tcW w:w="528" w:type="pct"/>
            <w:vMerge w:val="continue"/>
            <w:shd w:val="clear" w:color="auto" w:fill="auto"/>
            <w:vAlign w:val="center"/>
          </w:tcPr>
          <w:p>
            <w:pPr>
              <w:widowControl/>
              <w:snapToGrid w:val="0"/>
              <w:spacing w:line="240" w:lineRule="auto"/>
              <w:ind w:firstLine="0" w:firstLineChars="0"/>
              <w:jc w:val="center"/>
              <w:rPr>
                <w:rFonts w:eastAsia="宋体" w:cs="Times New Roman"/>
                <w:color w:val="00000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19" w:hRule="atLeast"/>
        </w:trPr>
        <w:tc>
          <w:tcPr>
            <w:tcW w:w="471" w:type="pct"/>
            <w:shd w:val="clear" w:color="auto" w:fill="auto"/>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sz w:val="21"/>
                <w:szCs w:val="21"/>
              </w:rPr>
              <w:t>吉林省环科废油脂加工有限责任公司</w:t>
            </w:r>
          </w:p>
        </w:tc>
        <w:tc>
          <w:tcPr>
            <w:tcW w:w="571" w:type="pct"/>
            <w:shd w:val="clear" w:color="auto" w:fill="auto"/>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sz w:val="21"/>
                <w:szCs w:val="21"/>
              </w:rPr>
              <w:t>2201130127（有效期从2020年5月27日至2025年5月26日）</w:t>
            </w:r>
          </w:p>
        </w:tc>
        <w:tc>
          <w:tcPr>
            <w:tcW w:w="1960" w:type="pct"/>
            <w:vAlign w:val="center"/>
          </w:tcPr>
          <w:p>
            <w:pPr>
              <w:widowControl/>
              <w:snapToGrid w:val="0"/>
              <w:spacing w:line="240" w:lineRule="auto"/>
              <w:ind w:firstLine="0" w:firstLineChars="0"/>
              <w:rPr>
                <w:rFonts w:eastAsia="宋体" w:cs="Times New Roman"/>
                <w:color w:val="000000"/>
                <w:kern w:val="0"/>
                <w:sz w:val="21"/>
                <w:szCs w:val="21"/>
              </w:rPr>
            </w:pPr>
            <w:r>
              <w:rPr>
                <w:rFonts w:eastAsia="宋体" w:cs="Times New Roman"/>
                <w:sz w:val="21"/>
                <w:szCs w:val="21"/>
              </w:rPr>
              <w:t>收集、贮存、利用HW08废矿物油与含矿物油废物中石油开采行业071-001-08，精炼石油产品制造行业251-001-08、251-002-08、251-003-08、251-004-08、251-005-08、251-006-08、251-010-08，非特定行业900-199-08、291-001-08的经营能力，年经营规模40000吨。HW08废矿物油与含矿物油废物中非特定行业900-200-08、900-201-08、900-203-08、900-204-08、900-209-08、900-210-08、900-214-08、900-217-08、900-218-08、900-219-08、900-220-08、900-249-08的经营能力，年经营规模31300吨。</w:t>
            </w:r>
          </w:p>
        </w:tc>
        <w:tc>
          <w:tcPr>
            <w:tcW w:w="980" w:type="pct"/>
            <w:shd w:val="clear" w:color="auto" w:fill="auto"/>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20222224003859</w:t>
            </w:r>
          </w:p>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20222224003880</w:t>
            </w:r>
          </w:p>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20222224001334</w:t>
            </w:r>
          </w:p>
        </w:tc>
        <w:tc>
          <w:tcPr>
            <w:tcW w:w="490" w:type="pct"/>
            <w:shd w:val="clear" w:color="auto" w:fill="auto"/>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kern w:val="24"/>
                <w:sz w:val="21"/>
                <w:szCs w:val="21"/>
              </w:rPr>
              <w:t>废润滑油</w:t>
            </w:r>
          </w:p>
        </w:tc>
        <w:tc>
          <w:tcPr>
            <w:tcW w:w="528" w:type="pct"/>
            <w:shd w:val="clear" w:color="auto" w:fill="auto"/>
            <w:vAlign w:val="center"/>
          </w:tcPr>
          <w:p>
            <w:pPr>
              <w:pStyle w:val="109"/>
              <w:snapToGrid w:val="0"/>
              <w:jc w:val="center"/>
              <w:rPr>
                <w:rFonts w:eastAsia="宋体"/>
                <w:color w:val="auto"/>
                <w:sz w:val="21"/>
                <w:szCs w:val="21"/>
              </w:rPr>
            </w:pPr>
            <w:r>
              <w:rPr>
                <w:rFonts w:eastAsia="宋体"/>
                <w:color w:val="auto"/>
                <w:sz w:val="21"/>
                <w:szCs w:val="21"/>
              </w:rPr>
              <w:t>67.18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20" w:hRule="atLeast"/>
        </w:trPr>
        <w:tc>
          <w:tcPr>
            <w:tcW w:w="471" w:type="pct"/>
            <w:vMerge w:val="restart"/>
            <w:shd w:val="clear" w:color="auto" w:fill="auto"/>
            <w:vAlign w:val="center"/>
          </w:tcPr>
          <w:p>
            <w:pPr>
              <w:widowControl/>
              <w:snapToGrid w:val="0"/>
              <w:spacing w:line="240" w:lineRule="auto"/>
              <w:ind w:firstLine="0" w:firstLineChars="0"/>
              <w:jc w:val="center"/>
              <w:rPr>
                <w:rFonts w:eastAsia="宋体" w:cs="Times New Roman"/>
                <w:sz w:val="21"/>
                <w:szCs w:val="21"/>
              </w:rPr>
            </w:pPr>
            <w:r>
              <w:rPr>
                <w:rFonts w:eastAsia="宋体" w:cs="Times New Roman"/>
                <w:sz w:val="21"/>
                <w:szCs w:val="21"/>
              </w:rPr>
              <w:t>吉林省蓝天固废处理中心有限公司</w:t>
            </w:r>
          </w:p>
        </w:tc>
        <w:tc>
          <w:tcPr>
            <w:tcW w:w="571" w:type="pct"/>
            <w:vMerge w:val="restart"/>
            <w:shd w:val="clear" w:color="auto" w:fill="auto"/>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sz w:val="21"/>
                <w:szCs w:val="21"/>
              </w:rPr>
              <w:t>2201050001（有效期从</w:t>
            </w:r>
            <w:r>
              <w:rPr>
                <w:rFonts w:eastAsia="宋体" w:cs="Times New Roman"/>
                <w:bCs/>
                <w:color w:val="000000"/>
                <w:spacing w:val="-20"/>
                <w:sz w:val="21"/>
                <w:szCs w:val="21"/>
              </w:rPr>
              <w:t>2020年11月9日至  2025年11月8日</w:t>
            </w:r>
            <w:r>
              <w:rPr>
                <w:rFonts w:eastAsia="宋体" w:cs="Times New Roman"/>
                <w:color w:val="000000"/>
                <w:sz w:val="21"/>
                <w:szCs w:val="21"/>
              </w:rPr>
              <w:t>）</w:t>
            </w:r>
          </w:p>
        </w:tc>
        <w:tc>
          <w:tcPr>
            <w:tcW w:w="1960" w:type="pct"/>
            <w:vMerge w:val="restart"/>
            <w:vAlign w:val="center"/>
          </w:tcPr>
          <w:p>
            <w:pPr>
              <w:snapToGrid w:val="0"/>
              <w:spacing w:line="240" w:lineRule="auto"/>
              <w:ind w:firstLine="0" w:firstLineChars="0"/>
              <w:rPr>
                <w:rFonts w:eastAsia="宋体" w:cs="Times New Roman"/>
                <w:color w:val="000000"/>
                <w:sz w:val="21"/>
                <w:szCs w:val="21"/>
              </w:rPr>
            </w:pPr>
            <w:r>
              <w:rPr>
                <w:rFonts w:hint="eastAsia" w:eastAsia="宋体" w:cs="Times New Roman"/>
                <w:color w:val="000000"/>
                <w:sz w:val="21"/>
                <w:szCs w:val="21"/>
              </w:rPr>
              <w:t>（1）</w:t>
            </w:r>
            <w:r>
              <w:rPr>
                <w:rFonts w:eastAsia="宋体" w:cs="Times New Roman"/>
                <w:color w:val="000000"/>
                <w:sz w:val="21"/>
                <w:szCs w:val="21"/>
              </w:rPr>
              <w:t>收集、贮存、焚烧处置HW01（仅限831-001-01中医疗废水处理污泥、831-004-01、831-005-01）、HW02、HW03、HW04、HW05、HW06、HW07、HW08、HW09、HW11、HW12、HW13、HW14（经鉴别可焚烧部分）、HW16、HW17、HW18（772-005-18、772-003-18仅限污水处理污泥 ）、HW19（经鉴别可焚烧部分）、HW20（经鉴别可焚烧部分）、HW21（经鉴别可焚烧部分）、HW22（经鉴别可焚烧部分）、HW23（经鉴别可焚烧部分）、HW24（经鉴别可焚烧部分）、HW25（经鉴别可焚烧部分）、HW26（经鉴别可焚烧部分）、HW27（经鉴别可焚烧部分）、HW28（经鉴别可焚烧部分）、HW30（经鉴别可焚烧部分）、HW31（经鉴别可焚烧部分）、HW32（经鉴别可焚烧部分）、HW33（经鉴别可焚烧部分）、HW34（预处理之后）、HW35（预处理之后）、HW36（经鉴别可焚烧部分）、HW37、HW38、HW39、HW40、HW45、HW46（经鉴别可焚烧部分）、HW47（经鉴别可焚烧部分）、HW48（经鉴别可焚烧部分、321-030-48除外）、HW49（900-040-49、900-044-49除外）、HW50（经鉴别可焚烧部分）的经营能力，年经营规模28050吨。</w:t>
            </w:r>
          </w:p>
          <w:p>
            <w:pPr>
              <w:snapToGrid w:val="0"/>
              <w:spacing w:line="240" w:lineRule="auto"/>
              <w:ind w:firstLine="0" w:firstLineChars="0"/>
              <w:rPr>
                <w:rFonts w:eastAsia="宋体" w:cs="Times New Roman"/>
                <w:color w:val="000000"/>
                <w:sz w:val="21"/>
                <w:szCs w:val="21"/>
              </w:rPr>
            </w:pPr>
            <w:r>
              <w:rPr>
                <w:rFonts w:eastAsia="宋体" w:cs="Times New Roman"/>
                <w:color w:val="000000"/>
                <w:sz w:val="21"/>
                <w:szCs w:val="21"/>
              </w:rPr>
              <w:t>收集、贮存、固化HW29含汞废物，年经营规模1500吨。</w:t>
            </w:r>
          </w:p>
          <w:p>
            <w:pPr>
              <w:snapToGrid w:val="0"/>
              <w:spacing w:line="240" w:lineRule="auto"/>
              <w:ind w:firstLine="0" w:firstLineChars="0"/>
              <w:rPr>
                <w:rFonts w:eastAsia="宋体" w:cs="Times New Roman"/>
                <w:color w:val="000000"/>
                <w:sz w:val="21"/>
                <w:szCs w:val="21"/>
              </w:rPr>
            </w:pPr>
            <w:r>
              <w:rPr>
                <w:rFonts w:hint="eastAsia" w:eastAsia="宋体" w:cs="Times New Roman"/>
                <w:color w:val="000000"/>
                <w:sz w:val="21"/>
                <w:szCs w:val="21"/>
              </w:rPr>
              <w:t>（2）</w:t>
            </w:r>
            <w:r>
              <w:rPr>
                <w:rFonts w:eastAsia="宋体" w:cs="Times New Roman"/>
                <w:color w:val="000000"/>
                <w:sz w:val="21"/>
                <w:szCs w:val="21"/>
              </w:rPr>
              <w:t>收集，贮存、清洗处置HW49其他废物中非特定行业900-041-49含有或沾染毒性、感染性危险废物的废弃包装桶，年经营规模60万只。</w:t>
            </w:r>
          </w:p>
          <w:p>
            <w:pPr>
              <w:snapToGrid w:val="0"/>
              <w:spacing w:line="240" w:lineRule="auto"/>
              <w:ind w:firstLine="0" w:firstLineChars="0"/>
              <w:rPr>
                <w:rFonts w:eastAsia="宋体" w:cs="Times New Roman"/>
                <w:color w:val="000000"/>
                <w:sz w:val="21"/>
                <w:szCs w:val="21"/>
              </w:rPr>
            </w:pPr>
            <w:r>
              <w:rPr>
                <w:rFonts w:hint="eastAsia" w:eastAsia="宋体" w:cs="Times New Roman"/>
                <w:color w:val="000000"/>
                <w:sz w:val="21"/>
                <w:szCs w:val="21"/>
              </w:rPr>
              <w:t>（3）</w:t>
            </w:r>
            <w:r>
              <w:rPr>
                <w:rFonts w:eastAsia="宋体" w:cs="Times New Roman"/>
                <w:color w:val="000000"/>
                <w:sz w:val="21"/>
                <w:szCs w:val="21"/>
              </w:rPr>
              <w:t>收集、贮存、利用HW06废有机溶剂与含有机溶剂废物中900-402-06、900-403-06、900-404-06，年经营规模10000吨。</w:t>
            </w:r>
          </w:p>
          <w:p>
            <w:pPr>
              <w:widowControl/>
              <w:snapToGrid w:val="0"/>
              <w:spacing w:line="240" w:lineRule="auto"/>
              <w:ind w:firstLine="0" w:firstLineChars="0"/>
              <w:rPr>
                <w:rFonts w:eastAsia="宋体" w:cs="Times New Roman"/>
                <w:color w:val="000000"/>
                <w:kern w:val="0"/>
                <w:sz w:val="21"/>
                <w:szCs w:val="21"/>
              </w:rPr>
            </w:pPr>
            <w:r>
              <w:rPr>
                <w:rFonts w:eastAsia="宋体" w:cs="Times New Roman"/>
                <w:color w:val="000000"/>
                <w:sz w:val="21"/>
                <w:szCs w:val="21"/>
              </w:rPr>
              <w:t>收集、暂存263-001-04、263-004-04、263-005-04、HW14（不可焚烧部分）、HW16、HW18、HW29、HW34、HW35、HW36、HW45、321-030-48、900-040-49、900-044-49，年收集量28000吨。</w:t>
            </w:r>
          </w:p>
        </w:tc>
        <w:tc>
          <w:tcPr>
            <w:tcW w:w="980" w:type="pct"/>
            <w:shd w:val="clear" w:color="auto" w:fill="auto"/>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20222224003807</w:t>
            </w:r>
          </w:p>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20222224000232</w:t>
            </w:r>
          </w:p>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20222224000484</w:t>
            </w:r>
          </w:p>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20222224002221</w:t>
            </w:r>
          </w:p>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20222224002724</w:t>
            </w:r>
          </w:p>
        </w:tc>
        <w:tc>
          <w:tcPr>
            <w:tcW w:w="490" w:type="pct"/>
            <w:shd w:val="clear" w:color="auto" w:fill="auto"/>
            <w:vAlign w:val="center"/>
          </w:tcPr>
          <w:p>
            <w:pPr>
              <w:adjustRightInd w:val="0"/>
              <w:snapToGrid w:val="0"/>
              <w:spacing w:line="240" w:lineRule="auto"/>
              <w:ind w:firstLine="0" w:firstLineChars="0"/>
              <w:jc w:val="center"/>
              <w:rPr>
                <w:rFonts w:eastAsia="宋体" w:cs="Times New Roman"/>
                <w:kern w:val="24"/>
                <w:sz w:val="21"/>
                <w:szCs w:val="21"/>
              </w:rPr>
            </w:pPr>
            <w:r>
              <w:rPr>
                <w:rFonts w:eastAsia="宋体" w:cs="Times New Roman"/>
                <w:kern w:val="24"/>
                <w:sz w:val="21"/>
                <w:szCs w:val="21"/>
              </w:rPr>
              <w:t>废齿轮油</w:t>
            </w:r>
          </w:p>
        </w:tc>
        <w:tc>
          <w:tcPr>
            <w:tcW w:w="528" w:type="pct"/>
            <w:shd w:val="clear" w:color="auto" w:fill="auto"/>
            <w:vAlign w:val="center"/>
          </w:tcPr>
          <w:p>
            <w:pPr>
              <w:pStyle w:val="109"/>
              <w:snapToGrid w:val="0"/>
              <w:jc w:val="center"/>
              <w:rPr>
                <w:rFonts w:eastAsia="宋体"/>
                <w:color w:val="auto"/>
                <w:sz w:val="21"/>
                <w:szCs w:val="21"/>
              </w:rPr>
            </w:pPr>
            <w:r>
              <w:rPr>
                <w:rFonts w:eastAsia="宋体"/>
                <w:color w:val="auto"/>
                <w:sz w:val="21"/>
                <w:szCs w:val="21"/>
              </w:rPr>
              <w:t>30.16348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13" w:hRule="atLeast"/>
        </w:trPr>
        <w:tc>
          <w:tcPr>
            <w:tcW w:w="471" w:type="pct"/>
            <w:vMerge w:val="continue"/>
            <w:shd w:val="clear" w:color="auto" w:fill="auto"/>
            <w:vAlign w:val="center"/>
          </w:tcPr>
          <w:p>
            <w:pPr>
              <w:widowControl/>
              <w:snapToGrid w:val="0"/>
              <w:spacing w:line="240" w:lineRule="auto"/>
              <w:ind w:firstLine="0" w:firstLineChars="0"/>
              <w:jc w:val="center"/>
              <w:rPr>
                <w:rFonts w:eastAsia="宋体" w:cs="Times New Roman"/>
                <w:sz w:val="21"/>
                <w:szCs w:val="21"/>
              </w:rPr>
            </w:pPr>
          </w:p>
        </w:tc>
        <w:tc>
          <w:tcPr>
            <w:tcW w:w="571" w:type="pct"/>
            <w:vMerge w:val="continue"/>
            <w:shd w:val="clear" w:color="auto" w:fill="auto"/>
            <w:vAlign w:val="center"/>
          </w:tcPr>
          <w:p>
            <w:pPr>
              <w:widowControl/>
              <w:snapToGrid w:val="0"/>
              <w:spacing w:line="240" w:lineRule="auto"/>
              <w:ind w:firstLine="0" w:firstLineChars="0"/>
              <w:jc w:val="center"/>
              <w:rPr>
                <w:rFonts w:eastAsia="宋体" w:cs="Times New Roman"/>
                <w:color w:val="000000"/>
                <w:kern w:val="0"/>
                <w:sz w:val="21"/>
                <w:szCs w:val="21"/>
              </w:rPr>
            </w:pPr>
          </w:p>
        </w:tc>
        <w:tc>
          <w:tcPr>
            <w:tcW w:w="1960" w:type="pct"/>
            <w:vMerge w:val="continue"/>
            <w:vAlign w:val="center"/>
          </w:tcPr>
          <w:p>
            <w:pPr>
              <w:widowControl/>
              <w:snapToGrid w:val="0"/>
              <w:spacing w:line="240" w:lineRule="auto"/>
              <w:ind w:firstLine="0" w:firstLineChars="0"/>
              <w:jc w:val="center"/>
              <w:rPr>
                <w:rFonts w:eastAsia="宋体" w:cs="Times New Roman"/>
                <w:color w:val="000000"/>
                <w:kern w:val="0"/>
                <w:sz w:val="21"/>
                <w:szCs w:val="21"/>
              </w:rPr>
            </w:pPr>
          </w:p>
        </w:tc>
        <w:tc>
          <w:tcPr>
            <w:tcW w:w="980" w:type="pct"/>
            <w:shd w:val="clear" w:color="auto" w:fill="auto"/>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20222224003810</w:t>
            </w:r>
          </w:p>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20222224000233</w:t>
            </w:r>
          </w:p>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20222224000483</w:t>
            </w:r>
          </w:p>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20222224002220</w:t>
            </w:r>
          </w:p>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20222224002728</w:t>
            </w:r>
          </w:p>
        </w:tc>
        <w:tc>
          <w:tcPr>
            <w:tcW w:w="490" w:type="pct"/>
            <w:shd w:val="clear" w:color="auto" w:fill="auto"/>
            <w:vAlign w:val="center"/>
          </w:tcPr>
          <w:p>
            <w:pPr>
              <w:adjustRightInd w:val="0"/>
              <w:snapToGrid w:val="0"/>
              <w:spacing w:line="240" w:lineRule="auto"/>
              <w:ind w:firstLine="0" w:firstLineChars="0"/>
              <w:jc w:val="center"/>
              <w:rPr>
                <w:rFonts w:eastAsia="宋体" w:cs="Times New Roman"/>
                <w:kern w:val="24"/>
                <w:sz w:val="21"/>
                <w:szCs w:val="21"/>
              </w:rPr>
            </w:pPr>
            <w:r>
              <w:rPr>
                <w:rFonts w:eastAsia="宋体" w:cs="Times New Roman"/>
                <w:kern w:val="24"/>
                <w:sz w:val="21"/>
                <w:szCs w:val="21"/>
              </w:rPr>
              <w:t>废油桶</w:t>
            </w:r>
          </w:p>
        </w:tc>
        <w:tc>
          <w:tcPr>
            <w:tcW w:w="528" w:type="pct"/>
            <w:shd w:val="clear" w:color="auto" w:fill="auto"/>
            <w:vAlign w:val="center"/>
          </w:tcPr>
          <w:p>
            <w:pPr>
              <w:pStyle w:val="109"/>
              <w:snapToGrid w:val="0"/>
              <w:jc w:val="center"/>
              <w:rPr>
                <w:rFonts w:eastAsia="宋体"/>
                <w:color w:val="auto"/>
                <w:sz w:val="21"/>
                <w:szCs w:val="21"/>
              </w:rPr>
            </w:pPr>
            <w:r>
              <w:rPr>
                <w:rFonts w:eastAsia="宋体"/>
                <w:color w:val="auto"/>
                <w:sz w:val="21"/>
                <w:szCs w:val="21"/>
              </w:rPr>
              <w:t>2.35906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7" w:hRule="atLeast"/>
        </w:trPr>
        <w:tc>
          <w:tcPr>
            <w:tcW w:w="471" w:type="pct"/>
            <w:vMerge w:val="continue"/>
            <w:shd w:val="clear" w:color="auto" w:fill="auto"/>
            <w:vAlign w:val="center"/>
          </w:tcPr>
          <w:p>
            <w:pPr>
              <w:widowControl/>
              <w:snapToGrid w:val="0"/>
              <w:spacing w:line="240" w:lineRule="auto"/>
              <w:ind w:firstLine="0" w:firstLineChars="0"/>
              <w:jc w:val="center"/>
              <w:rPr>
                <w:rFonts w:eastAsia="宋体" w:cs="Times New Roman"/>
                <w:sz w:val="21"/>
                <w:szCs w:val="21"/>
              </w:rPr>
            </w:pPr>
          </w:p>
        </w:tc>
        <w:tc>
          <w:tcPr>
            <w:tcW w:w="571" w:type="pct"/>
            <w:vMerge w:val="continue"/>
            <w:shd w:val="clear" w:color="auto" w:fill="auto"/>
            <w:vAlign w:val="center"/>
          </w:tcPr>
          <w:p>
            <w:pPr>
              <w:widowControl/>
              <w:snapToGrid w:val="0"/>
              <w:spacing w:line="240" w:lineRule="auto"/>
              <w:ind w:firstLine="0" w:firstLineChars="0"/>
              <w:jc w:val="center"/>
              <w:rPr>
                <w:rFonts w:eastAsia="宋体" w:cs="Times New Roman"/>
                <w:color w:val="000000"/>
                <w:kern w:val="0"/>
                <w:sz w:val="21"/>
                <w:szCs w:val="21"/>
              </w:rPr>
            </w:pPr>
          </w:p>
        </w:tc>
        <w:tc>
          <w:tcPr>
            <w:tcW w:w="1960" w:type="pct"/>
            <w:vMerge w:val="continue"/>
            <w:vAlign w:val="center"/>
          </w:tcPr>
          <w:p>
            <w:pPr>
              <w:widowControl/>
              <w:snapToGrid w:val="0"/>
              <w:spacing w:line="240" w:lineRule="auto"/>
              <w:ind w:firstLine="0" w:firstLineChars="0"/>
              <w:jc w:val="center"/>
              <w:rPr>
                <w:rFonts w:eastAsia="宋体" w:cs="Times New Roman"/>
                <w:color w:val="000000"/>
                <w:kern w:val="0"/>
                <w:sz w:val="21"/>
                <w:szCs w:val="21"/>
              </w:rPr>
            </w:pPr>
          </w:p>
        </w:tc>
        <w:tc>
          <w:tcPr>
            <w:tcW w:w="980" w:type="pct"/>
            <w:shd w:val="clear" w:color="auto" w:fill="auto"/>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20222224003809</w:t>
            </w:r>
          </w:p>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20222224000485</w:t>
            </w:r>
          </w:p>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20222224002219</w:t>
            </w:r>
          </w:p>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20222224002769</w:t>
            </w:r>
          </w:p>
        </w:tc>
        <w:tc>
          <w:tcPr>
            <w:tcW w:w="490" w:type="pct"/>
            <w:shd w:val="clear" w:color="auto" w:fill="auto"/>
            <w:vAlign w:val="center"/>
          </w:tcPr>
          <w:p>
            <w:pPr>
              <w:adjustRightInd w:val="0"/>
              <w:snapToGrid w:val="0"/>
              <w:spacing w:line="240" w:lineRule="auto"/>
              <w:ind w:firstLine="0" w:firstLineChars="0"/>
              <w:jc w:val="center"/>
              <w:rPr>
                <w:rFonts w:eastAsia="宋体" w:cs="Times New Roman"/>
                <w:kern w:val="24"/>
                <w:sz w:val="21"/>
                <w:szCs w:val="21"/>
              </w:rPr>
            </w:pPr>
            <w:r>
              <w:rPr>
                <w:rFonts w:eastAsia="宋体" w:cs="Times New Roman"/>
                <w:kern w:val="24"/>
                <w:sz w:val="21"/>
                <w:szCs w:val="21"/>
              </w:rPr>
              <w:t>废油漆桶</w:t>
            </w:r>
          </w:p>
        </w:tc>
        <w:tc>
          <w:tcPr>
            <w:tcW w:w="528" w:type="pct"/>
            <w:shd w:val="clear" w:color="auto" w:fill="auto"/>
            <w:vAlign w:val="center"/>
          </w:tcPr>
          <w:p>
            <w:pPr>
              <w:pStyle w:val="109"/>
              <w:snapToGrid w:val="0"/>
              <w:jc w:val="center"/>
              <w:rPr>
                <w:rFonts w:eastAsia="宋体"/>
                <w:color w:val="auto"/>
                <w:sz w:val="21"/>
                <w:szCs w:val="21"/>
              </w:rPr>
            </w:pPr>
            <w:r>
              <w:rPr>
                <w:rFonts w:eastAsia="宋体"/>
                <w:color w:val="auto"/>
                <w:sz w:val="21"/>
                <w:szCs w:val="21"/>
              </w:rPr>
              <w:t>7.5924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268" w:hRule="atLeast"/>
        </w:trPr>
        <w:tc>
          <w:tcPr>
            <w:tcW w:w="471" w:type="pct"/>
            <w:vMerge w:val="continue"/>
            <w:shd w:val="clear" w:color="auto" w:fill="auto"/>
            <w:vAlign w:val="center"/>
          </w:tcPr>
          <w:p>
            <w:pPr>
              <w:widowControl/>
              <w:snapToGrid w:val="0"/>
              <w:spacing w:line="240" w:lineRule="auto"/>
              <w:ind w:firstLine="0" w:firstLineChars="0"/>
              <w:jc w:val="center"/>
              <w:rPr>
                <w:rFonts w:eastAsia="宋体" w:cs="Times New Roman"/>
                <w:sz w:val="21"/>
                <w:szCs w:val="21"/>
              </w:rPr>
            </w:pPr>
          </w:p>
        </w:tc>
        <w:tc>
          <w:tcPr>
            <w:tcW w:w="571" w:type="pct"/>
            <w:vMerge w:val="continue"/>
            <w:shd w:val="clear" w:color="auto" w:fill="auto"/>
            <w:vAlign w:val="center"/>
          </w:tcPr>
          <w:p>
            <w:pPr>
              <w:widowControl/>
              <w:snapToGrid w:val="0"/>
              <w:spacing w:line="240" w:lineRule="auto"/>
              <w:ind w:firstLine="0" w:firstLineChars="0"/>
              <w:jc w:val="center"/>
              <w:rPr>
                <w:rFonts w:eastAsia="宋体" w:cs="Times New Roman"/>
                <w:color w:val="000000"/>
                <w:kern w:val="0"/>
                <w:sz w:val="21"/>
                <w:szCs w:val="21"/>
              </w:rPr>
            </w:pPr>
          </w:p>
        </w:tc>
        <w:tc>
          <w:tcPr>
            <w:tcW w:w="1960" w:type="pct"/>
            <w:vMerge w:val="continue"/>
            <w:vAlign w:val="center"/>
          </w:tcPr>
          <w:p>
            <w:pPr>
              <w:widowControl/>
              <w:snapToGrid w:val="0"/>
              <w:spacing w:line="240" w:lineRule="auto"/>
              <w:ind w:firstLine="0" w:firstLineChars="0"/>
              <w:jc w:val="center"/>
              <w:rPr>
                <w:rFonts w:eastAsia="宋体" w:cs="Times New Roman"/>
                <w:color w:val="000000"/>
                <w:kern w:val="0"/>
                <w:sz w:val="21"/>
                <w:szCs w:val="21"/>
              </w:rPr>
            </w:pPr>
          </w:p>
        </w:tc>
        <w:tc>
          <w:tcPr>
            <w:tcW w:w="980" w:type="pct"/>
            <w:shd w:val="clear" w:color="auto" w:fill="auto"/>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20222224003808</w:t>
            </w:r>
          </w:p>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20222224000486</w:t>
            </w:r>
          </w:p>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20222224002770</w:t>
            </w:r>
          </w:p>
        </w:tc>
        <w:tc>
          <w:tcPr>
            <w:tcW w:w="490" w:type="pct"/>
            <w:shd w:val="clear" w:color="auto" w:fill="auto"/>
            <w:vAlign w:val="center"/>
          </w:tcPr>
          <w:p>
            <w:pPr>
              <w:adjustRightInd w:val="0"/>
              <w:snapToGrid w:val="0"/>
              <w:spacing w:line="240" w:lineRule="auto"/>
              <w:ind w:firstLine="0" w:firstLineChars="0"/>
              <w:jc w:val="center"/>
              <w:rPr>
                <w:rFonts w:eastAsia="宋体" w:cs="Times New Roman"/>
                <w:kern w:val="24"/>
                <w:sz w:val="21"/>
                <w:szCs w:val="21"/>
              </w:rPr>
            </w:pPr>
            <w:r>
              <w:rPr>
                <w:rFonts w:eastAsia="宋体" w:cs="Times New Roman"/>
                <w:sz w:val="21"/>
                <w:szCs w:val="21"/>
              </w:rPr>
              <w:t>药剂包装物（瓶、袋）</w:t>
            </w:r>
          </w:p>
        </w:tc>
        <w:tc>
          <w:tcPr>
            <w:tcW w:w="528" w:type="pct"/>
            <w:shd w:val="clear" w:color="auto" w:fill="auto"/>
            <w:vAlign w:val="center"/>
          </w:tcPr>
          <w:p>
            <w:pPr>
              <w:pStyle w:val="109"/>
              <w:snapToGrid w:val="0"/>
              <w:jc w:val="center"/>
              <w:rPr>
                <w:rFonts w:eastAsia="宋体"/>
                <w:color w:val="auto"/>
                <w:sz w:val="21"/>
                <w:szCs w:val="21"/>
              </w:rPr>
            </w:pPr>
            <w:r>
              <w:rPr>
                <w:rFonts w:eastAsia="宋体"/>
                <w:color w:val="auto"/>
                <w:sz w:val="21"/>
                <w:szCs w:val="21"/>
              </w:rPr>
              <w:t>0.49494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6" w:hRule="atLeast"/>
        </w:trPr>
        <w:tc>
          <w:tcPr>
            <w:tcW w:w="471" w:type="pct"/>
            <w:vMerge w:val="continue"/>
            <w:shd w:val="clear" w:color="auto" w:fill="auto"/>
            <w:vAlign w:val="center"/>
          </w:tcPr>
          <w:p>
            <w:pPr>
              <w:widowControl/>
              <w:snapToGrid w:val="0"/>
              <w:spacing w:line="240" w:lineRule="auto"/>
              <w:ind w:firstLine="0" w:firstLineChars="0"/>
              <w:jc w:val="center"/>
              <w:rPr>
                <w:rFonts w:eastAsia="宋体" w:cs="Times New Roman"/>
                <w:sz w:val="21"/>
                <w:szCs w:val="21"/>
              </w:rPr>
            </w:pPr>
          </w:p>
        </w:tc>
        <w:tc>
          <w:tcPr>
            <w:tcW w:w="571" w:type="pct"/>
            <w:vMerge w:val="continue"/>
            <w:shd w:val="clear" w:color="auto" w:fill="auto"/>
            <w:vAlign w:val="center"/>
          </w:tcPr>
          <w:p>
            <w:pPr>
              <w:widowControl/>
              <w:snapToGrid w:val="0"/>
              <w:spacing w:line="240" w:lineRule="auto"/>
              <w:ind w:firstLine="0" w:firstLineChars="0"/>
              <w:jc w:val="center"/>
              <w:rPr>
                <w:rFonts w:eastAsia="宋体" w:cs="Times New Roman"/>
                <w:color w:val="000000"/>
                <w:kern w:val="0"/>
                <w:sz w:val="21"/>
                <w:szCs w:val="21"/>
              </w:rPr>
            </w:pPr>
          </w:p>
        </w:tc>
        <w:tc>
          <w:tcPr>
            <w:tcW w:w="1960" w:type="pct"/>
            <w:vMerge w:val="continue"/>
            <w:vAlign w:val="center"/>
          </w:tcPr>
          <w:p>
            <w:pPr>
              <w:widowControl/>
              <w:snapToGrid w:val="0"/>
              <w:spacing w:line="240" w:lineRule="auto"/>
              <w:ind w:firstLine="0" w:firstLineChars="0"/>
              <w:jc w:val="center"/>
              <w:rPr>
                <w:rFonts w:eastAsia="宋体" w:cs="Times New Roman"/>
                <w:color w:val="000000"/>
                <w:kern w:val="0"/>
                <w:sz w:val="21"/>
                <w:szCs w:val="21"/>
              </w:rPr>
            </w:pPr>
          </w:p>
        </w:tc>
        <w:tc>
          <w:tcPr>
            <w:tcW w:w="980" w:type="pct"/>
            <w:shd w:val="clear" w:color="auto" w:fill="auto"/>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20222224002771</w:t>
            </w:r>
          </w:p>
        </w:tc>
        <w:tc>
          <w:tcPr>
            <w:tcW w:w="490" w:type="pct"/>
            <w:shd w:val="clear" w:color="auto" w:fill="auto"/>
            <w:vAlign w:val="center"/>
          </w:tcPr>
          <w:p>
            <w:pPr>
              <w:adjustRightInd w:val="0"/>
              <w:snapToGrid w:val="0"/>
              <w:spacing w:line="240" w:lineRule="auto"/>
              <w:ind w:firstLine="0" w:firstLineChars="0"/>
              <w:jc w:val="center"/>
              <w:rPr>
                <w:rFonts w:eastAsia="宋体" w:cs="Times New Roman"/>
                <w:kern w:val="24"/>
                <w:sz w:val="21"/>
                <w:szCs w:val="21"/>
              </w:rPr>
            </w:pPr>
            <w:r>
              <w:rPr>
                <w:rFonts w:eastAsia="宋体" w:cs="Times New Roman"/>
                <w:color w:val="000000"/>
                <w:sz w:val="21"/>
                <w:szCs w:val="21"/>
              </w:rPr>
              <w:t>实验室废试剂</w:t>
            </w:r>
          </w:p>
        </w:tc>
        <w:tc>
          <w:tcPr>
            <w:tcW w:w="528" w:type="pct"/>
            <w:shd w:val="clear" w:color="auto" w:fill="auto"/>
            <w:vAlign w:val="center"/>
          </w:tcPr>
          <w:p>
            <w:pPr>
              <w:pStyle w:val="109"/>
              <w:snapToGrid w:val="0"/>
              <w:jc w:val="center"/>
              <w:rPr>
                <w:rFonts w:eastAsia="宋体"/>
                <w:color w:val="auto"/>
                <w:sz w:val="21"/>
                <w:szCs w:val="21"/>
              </w:rPr>
            </w:pPr>
            <w:r>
              <w:rPr>
                <w:rFonts w:eastAsia="宋体"/>
                <w:color w:val="auto"/>
                <w:sz w:val="21"/>
                <w:szCs w:val="21"/>
              </w:rPr>
              <w:t>0.05012</w:t>
            </w:r>
          </w:p>
        </w:tc>
      </w:tr>
    </w:tbl>
    <w:p>
      <w:pPr>
        <w:ind w:firstLine="480"/>
        <w:rPr>
          <w:rFonts w:cs="Times New Roman"/>
        </w:rPr>
      </w:pPr>
    </w:p>
    <w:p>
      <w:pPr>
        <w:pStyle w:val="3"/>
        <w:rPr>
          <w:rFonts w:cs="Times New Roman"/>
          <w:szCs w:val="28"/>
        </w:rPr>
      </w:pPr>
      <w:bookmarkStart w:id="102" w:name="_Toc97540962"/>
      <w:bookmarkStart w:id="103" w:name="_Toc94185489"/>
      <w:bookmarkStart w:id="104" w:name="_Toc127266654"/>
      <w:r>
        <w:rPr>
          <w:rFonts w:cs="Times New Roman"/>
          <w:szCs w:val="28"/>
        </w:rPr>
        <w:t>5.4 有毒有害物质排放信息</w:t>
      </w:r>
      <w:bookmarkEnd w:id="102"/>
      <w:bookmarkEnd w:id="103"/>
      <w:bookmarkEnd w:id="104"/>
    </w:p>
    <w:p>
      <w:pPr>
        <w:adjustRightInd w:val="0"/>
        <w:snapToGrid w:val="0"/>
        <w:ind w:firstLine="480"/>
        <w:rPr>
          <w:rFonts w:cs="Times New Roman"/>
        </w:rPr>
      </w:pPr>
      <w:r>
        <w:rPr>
          <w:rFonts w:cs="Times New Roman"/>
        </w:rPr>
        <w:t>根据《有毒有害大气污染物名录（2018）》、《有毒有害水污染物名录（第一批）》和《优先控制化学品名录》（第一批、第二批），</w:t>
      </w:r>
      <w:r>
        <w:rPr>
          <w:rFonts w:hint="eastAsia" w:cs="Times New Roman"/>
        </w:rPr>
        <w:t>曙光金铜矿不涉及</w:t>
      </w:r>
      <w:r>
        <w:rPr>
          <w:rFonts w:cs="Times New Roman"/>
        </w:rPr>
        <w:t>有毒有害物质排放</w:t>
      </w:r>
      <w:r>
        <w:rPr>
          <w:rFonts w:hint="eastAsia" w:cs="Times New Roman"/>
        </w:rPr>
        <w:t>。</w:t>
      </w:r>
    </w:p>
    <w:p>
      <w:pPr>
        <w:pStyle w:val="3"/>
        <w:rPr>
          <w:rFonts w:cs="Times New Roman"/>
          <w:szCs w:val="28"/>
        </w:rPr>
      </w:pPr>
      <w:bookmarkStart w:id="105" w:name="_Toc97540963"/>
      <w:bookmarkStart w:id="106" w:name="_Toc127266655"/>
      <w:bookmarkStart w:id="107" w:name="_Toc94185490"/>
      <w:r>
        <w:rPr>
          <w:rFonts w:cs="Times New Roman"/>
          <w:szCs w:val="28"/>
        </w:rPr>
        <w:t>5.5 噪声排放情况</w:t>
      </w:r>
      <w:bookmarkEnd w:id="105"/>
      <w:bookmarkEnd w:id="106"/>
      <w:bookmarkEnd w:id="107"/>
    </w:p>
    <w:p>
      <w:pPr>
        <w:snapToGrid w:val="0"/>
        <w:ind w:firstLine="480"/>
      </w:pPr>
      <w:r>
        <w:rPr>
          <w:rFonts w:hint="eastAsia"/>
        </w:rPr>
        <w:t>曙光金铜矿噪声源主要为各类机械设备，其中露天采场主要噪声源为钻机、爆破、采掘机械、铲运设备等，选矿厂区主要噪声源为破碎机、圆振动筛、球磨机、重选机、空压机及各种泵类等。曙光金铜矿对强噪声源均设置减振装置和消声器，并利用建筑隔音，对外界环境影响较小。</w:t>
      </w:r>
    </w:p>
    <w:p>
      <w:pPr>
        <w:snapToGrid w:val="0"/>
        <w:ind w:firstLine="480"/>
        <w:rPr>
          <w:rFonts w:cs="Times New Roman"/>
        </w:rPr>
      </w:pPr>
      <w:r>
        <w:rPr>
          <w:rFonts w:cs="Times New Roman"/>
        </w:rPr>
        <w:t>202</w:t>
      </w:r>
      <w:r>
        <w:rPr>
          <w:rFonts w:hint="eastAsia" w:cs="Times New Roman"/>
        </w:rPr>
        <w:t>2</w:t>
      </w:r>
      <w:r>
        <w:rPr>
          <w:rFonts w:cs="Times New Roman"/>
        </w:rPr>
        <w:t>年，</w:t>
      </w:r>
      <w:r>
        <w:rPr>
          <w:rFonts w:hint="eastAsia"/>
        </w:rPr>
        <w:t>曙光金铜矿委托</w:t>
      </w:r>
      <w:r>
        <w:rPr>
          <w:rFonts w:hint="eastAsia" w:cs="Times New Roman"/>
        </w:rPr>
        <w:t>吉林省隆嘉环境检测有限公司</w:t>
      </w:r>
      <w:r>
        <w:rPr>
          <w:rFonts w:cs="Times New Roman"/>
        </w:rPr>
        <w:t>有限公司每季度对厂界噪声进行</w:t>
      </w:r>
      <w:r>
        <w:rPr>
          <w:rFonts w:hint="eastAsia" w:cs="Times New Roman"/>
        </w:rPr>
        <w:t>一</w:t>
      </w:r>
      <w:r>
        <w:rPr>
          <w:rFonts w:cs="Times New Roman"/>
        </w:rPr>
        <w:t>次监测，具体监测情况见表5.5-1。</w:t>
      </w:r>
    </w:p>
    <w:p>
      <w:pPr>
        <w:ind w:firstLine="0" w:firstLineChars="0"/>
        <w:jc w:val="center"/>
        <w:rPr>
          <w:rFonts w:eastAsia="黑体" w:cs="Times New Roman"/>
        </w:rPr>
      </w:pPr>
      <w:r>
        <w:rPr>
          <w:rFonts w:eastAsia="黑体" w:cs="Times New Roman"/>
        </w:rPr>
        <w:t xml:space="preserve">表5.5-1 </w:t>
      </w:r>
      <w:r>
        <w:rPr>
          <w:rFonts w:hint="eastAsia" w:eastAsia="黑体" w:cs="Times New Roman"/>
        </w:rPr>
        <w:t xml:space="preserve"> </w:t>
      </w:r>
      <w:r>
        <w:rPr>
          <w:rFonts w:eastAsia="黑体" w:cs="Times New Roman"/>
        </w:rPr>
        <w:t>厂界噪声监测情况</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11"/>
        <w:gridCol w:w="1921"/>
        <w:gridCol w:w="1803"/>
        <w:gridCol w:w="1924"/>
        <w:gridCol w:w="18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593" w:type="pct"/>
            <w:vAlign w:val="center"/>
          </w:tcPr>
          <w:p>
            <w:pPr>
              <w:spacing w:line="240" w:lineRule="auto"/>
              <w:ind w:firstLine="0" w:firstLineChars="0"/>
              <w:jc w:val="center"/>
              <w:rPr>
                <w:rFonts w:eastAsia="宋体" w:cs="Times New Roman"/>
                <w:sz w:val="21"/>
              </w:rPr>
            </w:pPr>
            <w:r>
              <w:rPr>
                <w:rFonts w:eastAsia="宋体" w:cs="Times New Roman"/>
                <w:sz w:val="21"/>
              </w:rPr>
              <w:t>序号</w:t>
            </w:r>
          </w:p>
        </w:tc>
        <w:tc>
          <w:tcPr>
            <w:tcW w:w="1126" w:type="pct"/>
            <w:vAlign w:val="center"/>
          </w:tcPr>
          <w:p>
            <w:pPr>
              <w:spacing w:line="240" w:lineRule="auto"/>
              <w:ind w:firstLine="0" w:firstLineChars="0"/>
              <w:jc w:val="center"/>
              <w:rPr>
                <w:rFonts w:eastAsia="宋体" w:cs="Times New Roman"/>
                <w:sz w:val="21"/>
              </w:rPr>
            </w:pPr>
            <w:r>
              <w:rPr>
                <w:rFonts w:eastAsia="宋体" w:cs="Times New Roman"/>
                <w:sz w:val="21"/>
              </w:rPr>
              <w:t>监测点位置</w:t>
            </w:r>
          </w:p>
        </w:tc>
        <w:tc>
          <w:tcPr>
            <w:tcW w:w="1057" w:type="pct"/>
            <w:vAlign w:val="center"/>
          </w:tcPr>
          <w:p>
            <w:pPr>
              <w:spacing w:line="240" w:lineRule="auto"/>
              <w:ind w:firstLine="0" w:firstLineChars="0"/>
              <w:jc w:val="center"/>
              <w:rPr>
                <w:rFonts w:eastAsia="宋体" w:cs="Times New Roman"/>
                <w:sz w:val="21"/>
              </w:rPr>
            </w:pPr>
            <w:r>
              <w:rPr>
                <w:rFonts w:eastAsia="宋体" w:cs="Times New Roman"/>
                <w:sz w:val="21"/>
              </w:rPr>
              <w:t>昼间噪声值</w:t>
            </w:r>
          </w:p>
        </w:tc>
        <w:tc>
          <w:tcPr>
            <w:tcW w:w="1128" w:type="pct"/>
          </w:tcPr>
          <w:p>
            <w:pPr>
              <w:spacing w:line="240" w:lineRule="auto"/>
              <w:ind w:firstLine="0" w:firstLineChars="0"/>
              <w:jc w:val="center"/>
              <w:rPr>
                <w:rFonts w:eastAsia="宋体" w:cs="Times New Roman"/>
                <w:sz w:val="21"/>
              </w:rPr>
            </w:pPr>
            <w:r>
              <w:rPr>
                <w:rFonts w:eastAsia="宋体" w:cs="Times New Roman"/>
                <w:sz w:val="21"/>
              </w:rPr>
              <w:t>夜间噪声值</w:t>
            </w:r>
          </w:p>
        </w:tc>
        <w:tc>
          <w:tcPr>
            <w:tcW w:w="1096" w:type="pct"/>
            <w:vAlign w:val="center"/>
          </w:tcPr>
          <w:p>
            <w:pPr>
              <w:spacing w:line="240" w:lineRule="auto"/>
              <w:ind w:firstLine="0" w:firstLineChars="0"/>
              <w:jc w:val="center"/>
              <w:rPr>
                <w:rFonts w:eastAsia="宋体" w:cs="Times New Roman"/>
                <w:sz w:val="21"/>
              </w:rPr>
            </w:pPr>
            <w:r>
              <w:rPr>
                <w:rFonts w:eastAsia="宋体" w:cs="Times New Roman"/>
                <w:sz w:val="21"/>
              </w:rPr>
              <w:t>是否达标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593" w:type="pct"/>
            <w:vAlign w:val="center"/>
          </w:tcPr>
          <w:p>
            <w:pPr>
              <w:spacing w:line="240" w:lineRule="auto"/>
              <w:ind w:firstLine="0" w:firstLineChars="0"/>
              <w:jc w:val="center"/>
              <w:rPr>
                <w:rFonts w:eastAsia="宋体" w:cs="Times New Roman"/>
                <w:sz w:val="21"/>
              </w:rPr>
            </w:pPr>
            <w:r>
              <w:rPr>
                <w:rFonts w:eastAsia="宋体" w:cs="Times New Roman"/>
                <w:sz w:val="21"/>
              </w:rPr>
              <w:t>1</w:t>
            </w:r>
          </w:p>
        </w:tc>
        <w:tc>
          <w:tcPr>
            <w:tcW w:w="1126" w:type="pct"/>
            <w:vAlign w:val="center"/>
          </w:tcPr>
          <w:p>
            <w:pPr>
              <w:spacing w:line="240" w:lineRule="auto"/>
              <w:ind w:firstLine="0" w:firstLineChars="0"/>
              <w:jc w:val="center"/>
              <w:rPr>
                <w:rFonts w:eastAsia="宋体" w:cs="Times New Roman"/>
                <w:sz w:val="21"/>
              </w:rPr>
            </w:pPr>
            <w:r>
              <w:rPr>
                <w:rFonts w:eastAsia="宋体" w:cs="Times New Roman"/>
                <w:sz w:val="21"/>
              </w:rPr>
              <w:t>北侧厂界</w:t>
            </w:r>
          </w:p>
        </w:tc>
        <w:tc>
          <w:tcPr>
            <w:tcW w:w="1057" w:type="pct"/>
            <w:vAlign w:val="center"/>
          </w:tcPr>
          <w:p>
            <w:pPr>
              <w:spacing w:line="240" w:lineRule="auto"/>
              <w:ind w:firstLine="0" w:firstLineChars="0"/>
              <w:jc w:val="center"/>
              <w:rPr>
                <w:rFonts w:eastAsia="宋体" w:cs="Times New Roman"/>
                <w:sz w:val="21"/>
              </w:rPr>
            </w:pPr>
            <w:r>
              <w:rPr>
                <w:rFonts w:hint="eastAsia" w:eastAsia="宋体" w:cs="Times New Roman"/>
                <w:sz w:val="21"/>
              </w:rPr>
              <w:t>44~53</w:t>
            </w:r>
          </w:p>
        </w:tc>
        <w:tc>
          <w:tcPr>
            <w:tcW w:w="1128" w:type="pct"/>
            <w:vAlign w:val="center"/>
          </w:tcPr>
          <w:p>
            <w:pPr>
              <w:spacing w:line="240" w:lineRule="auto"/>
              <w:ind w:firstLine="0" w:firstLineChars="0"/>
              <w:jc w:val="center"/>
              <w:rPr>
                <w:rFonts w:eastAsia="宋体" w:cs="Times New Roman"/>
                <w:sz w:val="21"/>
              </w:rPr>
            </w:pPr>
            <w:r>
              <w:rPr>
                <w:rFonts w:hint="eastAsia" w:eastAsia="宋体" w:cs="Times New Roman"/>
                <w:sz w:val="21"/>
              </w:rPr>
              <w:t>40~42</w:t>
            </w:r>
          </w:p>
        </w:tc>
        <w:tc>
          <w:tcPr>
            <w:tcW w:w="1096" w:type="pct"/>
            <w:vAlign w:val="center"/>
          </w:tcPr>
          <w:p>
            <w:pPr>
              <w:spacing w:line="240" w:lineRule="auto"/>
              <w:ind w:firstLine="0" w:firstLineChars="0"/>
              <w:jc w:val="center"/>
              <w:rPr>
                <w:rFonts w:eastAsia="宋体" w:cs="Times New Roman"/>
                <w:sz w:val="21"/>
              </w:rPr>
            </w:pPr>
            <w:r>
              <w:rPr>
                <w:rFonts w:eastAsia="宋体" w:cs="Times New Roman"/>
                <w:sz w:val="21"/>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593" w:type="pct"/>
            <w:vAlign w:val="center"/>
          </w:tcPr>
          <w:p>
            <w:pPr>
              <w:spacing w:line="240" w:lineRule="auto"/>
              <w:ind w:firstLine="0" w:firstLineChars="0"/>
              <w:jc w:val="center"/>
              <w:rPr>
                <w:rFonts w:eastAsia="宋体" w:cs="Times New Roman"/>
                <w:sz w:val="21"/>
              </w:rPr>
            </w:pPr>
            <w:r>
              <w:rPr>
                <w:rFonts w:eastAsia="宋体" w:cs="Times New Roman"/>
                <w:sz w:val="21"/>
              </w:rPr>
              <w:t>2</w:t>
            </w:r>
          </w:p>
        </w:tc>
        <w:tc>
          <w:tcPr>
            <w:tcW w:w="1126" w:type="pct"/>
            <w:vAlign w:val="center"/>
          </w:tcPr>
          <w:p>
            <w:pPr>
              <w:spacing w:line="240" w:lineRule="auto"/>
              <w:ind w:firstLine="0" w:firstLineChars="0"/>
              <w:jc w:val="center"/>
              <w:rPr>
                <w:rFonts w:eastAsia="宋体" w:cs="Times New Roman"/>
                <w:sz w:val="21"/>
              </w:rPr>
            </w:pPr>
            <w:r>
              <w:rPr>
                <w:rFonts w:eastAsia="宋体" w:cs="Times New Roman"/>
                <w:sz w:val="21"/>
              </w:rPr>
              <w:t>东侧厂界</w:t>
            </w:r>
          </w:p>
        </w:tc>
        <w:tc>
          <w:tcPr>
            <w:tcW w:w="1057" w:type="pct"/>
            <w:vAlign w:val="center"/>
          </w:tcPr>
          <w:p>
            <w:pPr>
              <w:spacing w:line="240" w:lineRule="auto"/>
              <w:ind w:firstLine="0" w:firstLineChars="0"/>
              <w:jc w:val="center"/>
              <w:rPr>
                <w:rFonts w:eastAsia="宋体" w:cs="Times New Roman"/>
                <w:sz w:val="21"/>
              </w:rPr>
            </w:pPr>
            <w:r>
              <w:rPr>
                <w:rFonts w:hint="eastAsia" w:eastAsia="宋体" w:cs="Times New Roman"/>
                <w:sz w:val="21"/>
              </w:rPr>
              <w:t>44~54</w:t>
            </w:r>
          </w:p>
        </w:tc>
        <w:tc>
          <w:tcPr>
            <w:tcW w:w="1128" w:type="pct"/>
            <w:vAlign w:val="center"/>
          </w:tcPr>
          <w:p>
            <w:pPr>
              <w:spacing w:line="240" w:lineRule="auto"/>
              <w:ind w:firstLine="0" w:firstLineChars="0"/>
              <w:jc w:val="center"/>
              <w:rPr>
                <w:rFonts w:eastAsia="宋体" w:cs="Times New Roman"/>
                <w:sz w:val="21"/>
              </w:rPr>
            </w:pPr>
            <w:r>
              <w:rPr>
                <w:rFonts w:hint="eastAsia" w:eastAsia="宋体" w:cs="Times New Roman"/>
                <w:sz w:val="21"/>
              </w:rPr>
              <w:t>40~47</w:t>
            </w:r>
          </w:p>
        </w:tc>
        <w:tc>
          <w:tcPr>
            <w:tcW w:w="1096" w:type="pct"/>
            <w:vAlign w:val="center"/>
          </w:tcPr>
          <w:p>
            <w:pPr>
              <w:spacing w:line="240" w:lineRule="auto"/>
              <w:ind w:firstLine="0" w:firstLineChars="0"/>
              <w:jc w:val="center"/>
              <w:rPr>
                <w:rFonts w:eastAsia="宋体" w:cs="Times New Roman"/>
                <w:sz w:val="21"/>
              </w:rPr>
            </w:pPr>
            <w:r>
              <w:rPr>
                <w:rFonts w:eastAsia="宋体" w:cs="Times New Roman"/>
                <w:sz w:val="21"/>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593" w:type="pct"/>
            <w:vAlign w:val="center"/>
          </w:tcPr>
          <w:p>
            <w:pPr>
              <w:spacing w:line="240" w:lineRule="auto"/>
              <w:ind w:firstLine="0" w:firstLineChars="0"/>
              <w:jc w:val="center"/>
              <w:rPr>
                <w:rFonts w:eastAsia="宋体" w:cs="Times New Roman"/>
                <w:sz w:val="21"/>
              </w:rPr>
            </w:pPr>
            <w:r>
              <w:rPr>
                <w:rFonts w:eastAsia="宋体" w:cs="Times New Roman"/>
                <w:sz w:val="21"/>
              </w:rPr>
              <w:t>3</w:t>
            </w:r>
          </w:p>
        </w:tc>
        <w:tc>
          <w:tcPr>
            <w:tcW w:w="1126" w:type="pct"/>
            <w:vAlign w:val="center"/>
          </w:tcPr>
          <w:p>
            <w:pPr>
              <w:spacing w:line="240" w:lineRule="auto"/>
              <w:ind w:firstLine="0" w:firstLineChars="0"/>
              <w:jc w:val="center"/>
              <w:rPr>
                <w:rFonts w:eastAsia="宋体" w:cs="Times New Roman"/>
                <w:sz w:val="21"/>
              </w:rPr>
            </w:pPr>
            <w:r>
              <w:rPr>
                <w:rFonts w:eastAsia="宋体" w:cs="Times New Roman"/>
                <w:sz w:val="21"/>
              </w:rPr>
              <w:t>南侧厂界</w:t>
            </w:r>
          </w:p>
        </w:tc>
        <w:tc>
          <w:tcPr>
            <w:tcW w:w="1057" w:type="pct"/>
            <w:vAlign w:val="center"/>
          </w:tcPr>
          <w:p>
            <w:pPr>
              <w:spacing w:line="240" w:lineRule="auto"/>
              <w:ind w:firstLine="0" w:firstLineChars="0"/>
              <w:jc w:val="center"/>
              <w:rPr>
                <w:rFonts w:eastAsia="宋体" w:cs="Times New Roman"/>
                <w:sz w:val="21"/>
              </w:rPr>
            </w:pPr>
            <w:r>
              <w:rPr>
                <w:rFonts w:hint="eastAsia" w:eastAsia="宋体" w:cs="Times New Roman"/>
                <w:sz w:val="21"/>
              </w:rPr>
              <w:t>51~53</w:t>
            </w:r>
          </w:p>
        </w:tc>
        <w:tc>
          <w:tcPr>
            <w:tcW w:w="1128" w:type="pct"/>
            <w:vAlign w:val="center"/>
          </w:tcPr>
          <w:p>
            <w:pPr>
              <w:spacing w:line="240" w:lineRule="auto"/>
              <w:ind w:firstLine="0" w:firstLineChars="0"/>
              <w:jc w:val="center"/>
              <w:rPr>
                <w:rFonts w:eastAsia="宋体" w:cs="Times New Roman"/>
                <w:sz w:val="21"/>
              </w:rPr>
            </w:pPr>
            <w:r>
              <w:rPr>
                <w:rFonts w:hint="eastAsia" w:eastAsia="宋体" w:cs="Times New Roman"/>
                <w:sz w:val="21"/>
              </w:rPr>
              <w:t>42~44</w:t>
            </w:r>
          </w:p>
        </w:tc>
        <w:tc>
          <w:tcPr>
            <w:tcW w:w="1096" w:type="pct"/>
            <w:vAlign w:val="center"/>
          </w:tcPr>
          <w:p>
            <w:pPr>
              <w:spacing w:line="240" w:lineRule="auto"/>
              <w:ind w:firstLine="0" w:firstLineChars="0"/>
              <w:jc w:val="center"/>
              <w:rPr>
                <w:rFonts w:eastAsia="宋体" w:cs="Times New Roman"/>
                <w:sz w:val="21"/>
              </w:rPr>
            </w:pPr>
            <w:r>
              <w:rPr>
                <w:rFonts w:eastAsia="宋体" w:cs="Times New Roman"/>
                <w:sz w:val="21"/>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593" w:type="pct"/>
            <w:vAlign w:val="center"/>
          </w:tcPr>
          <w:p>
            <w:pPr>
              <w:spacing w:line="240" w:lineRule="auto"/>
              <w:ind w:firstLine="0" w:firstLineChars="0"/>
              <w:jc w:val="center"/>
              <w:rPr>
                <w:rFonts w:eastAsia="宋体" w:cs="Times New Roman"/>
                <w:sz w:val="21"/>
              </w:rPr>
            </w:pPr>
            <w:r>
              <w:rPr>
                <w:rFonts w:eastAsia="宋体" w:cs="Times New Roman"/>
                <w:sz w:val="21"/>
              </w:rPr>
              <w:t>4</w:t>
            </w:r>
          </w:p>
        </w:tc>
        <w:tc>
          <w:tcPr>
            <w:tcW w:w="1126" w:type="pct"/>
            <w:vAlign w:val="center"/>
          </w:tcPr>
          <w:p>
            <w:pPr>
              <w:spacing w:line="240" w:lineRule="auto"/>
              <w:ind w:firstLine="0" w:firstLineChars="0"/>
              <w:jc w:val="center"/>
              <w:rPr>
                <w:rFonts w:eastAsia="宋体" w:cs="Times New Roman"/>
                <w:sz w:val="21"/>
              </w:rPr>
            </w:pPr>
            <w:r>
              <w:rPr>
                <w:rFonts w:eastAsia="宋体" w:cs="Times New Roman"/>
                <w:sz w:val="21"/>
              </w:rPr>
              <w:t>西侧厂界</w:t>
            </w:r>
          </w:p>
        </w:tc>
        <w:tc>
          <w:tcPr>
            <w:tcW w:w="1057" w:type="pct"/>
            <w:vAlign w:val="center"/>
          </w:tcPr>
          <w:p>
            <w:pPr>
              <w:spacing w:line="240" w:lineRule="auto"/>
              <w:ind w:firstLine="0" w:firstLineChars="0"/>
              <w:jc w:val="center"/>
              <w:rPr>
                <w:rFonts w:eastAsia="宋体" w:cs="Times New Roman"/>
                <w:sz w:val="21"/>
              </w:rPr>
            </w:pPr>
            <w:r>
              <w:rPr>
                <w:rFonts w:hint="eastAsia" w:eastAsia="宋体" w:cs="Times New Roman"/>
                <w:sz w:val="21"/>
              </w:rPr>
              <w:t>43~54</w:t>
            </w:r>
          </w:p>
        </w:tc>
        <w:tc>
          <w:tcPr>
            <w:tcW w:w="1128" w:type="pct"/>
            <w:vAlign w:val="center"/>
          </w:tcPr>
          <w:p>
            <w:pPr>
              <w:spacing w:line="240" w:lineRule="auto"/>
              <w:ind w:firstLine="0" w:firstLineChars="0"/>
              <w:jc w:val="center"/>
              <w:rPr>
                <w:rFonts w:eastAsia="宋体" w:cs="Times New Roman"/>
                <w:sz w:val="21"/>
              </w:rPr>
            </w:pPr>
            <w:r>
              <w:rPr>
                <w:rFonts w:hint="eastAsia" w:eastAsia="宋体" w:cs="Times New Roman"/>
                <w:sz w:val="21"/>
              </w:rPr>
              <w:t>41~45</w:t>
            </w:r>
          </w:p>
        </w:tc>
        <w:tc>
          <w:tcPr>
            <w:tcW w:w="1096" w:type="pct"/>
            <w:vAlign w:val="center"/>
          </w:tcPr>
          <w:p>
            <w:pPr>
              <w:spacing w:line="240" w:lineRule="auto"/>
              <w:ind w:firstLine="0" w:firstLineChars="0"/>
              <w:jc w:val="center"/>
              <w:rPr>
                <w:rFonts w:eastAsia="宋体" w:cs="Times New Roman"/>
                <w:sz w:val="21"/>
              </w:rPr>
            </w:pPr>
            <w:r>
              <w:rPr>
                <w:rFonts w:eastAsia="宋体" w:cs="Times New Roman"/>
                <w:sz w:val="21"/>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719" w:type="pct"/>
            <w:gridSpan w:val="2"/>
            <w:vAlign w:val="center"/>
          </w:tcPr>
          <w:p>
            <w:pPr>
              <w:spacing w:line="240" w:lineRule="auto"/>
              <w:ind w:firstLine="0" w:firstLineChars="0"/>
              <w:jc w:val="center"/>
              <w:rPr>
                <w:rFonts w:eastAsia="宋体" w:cs="Times New Roman"/>
                <w:sz w:val="21"/>
              </w:rPr>
            </w:pPr>
            <w:r>
              <w:rPr>
                <w:rFonts w:eastAsia="宋体" w:cs="Times New Roman"/>
                <w:sz w:val="21"/>
              </w:rPr>
              <w:t>执行标准</w:t>
            </w:r>
          </w:p>
        </w:tc>
        <w:tc>
          <w:tcPr>
            <w:tcW w:w="1057" w:type="pct"/>
            <w:vAlign w:val="center"/>
          </w:tcPr>
          <w:p>
            <w:pPr>
              <w:spacing w:line="240" w:lineRule="auto"/>
              <w:ind w:firstLine="0" w:firstLineChars="0"/>
              <w:jc w:val="center"/>
              <w:rPr>
                <w:rFonts w:eastAsia="宋体" w:cs="Times New Roman"/>
                <w:sz w:val="21"/>
              </w:rPr>
            </w:pPr>
            <w:r>
              <w:rPr>
                <w:rFonts w:eastAsia="宋体" w:cs="Times New Roman"/>
                <w:sz w:val="21"/>
              </w:rPr>
              <w:t>60</w:t>
            </w:r>
          </w:p>
        </w:tc>
        <w:tc>
          <w:tcPr>
            <w:tcW w:w="1128" w:type="pct"/>
            <w:vAlign w:val="center"/>
          </w:tcPr>
          <w:p>
            <w:pPr>
              <w:spacing w:line="240" w:lineRule="auto"/>
              <w:ind w:firstLine="0" w:firstLineChars="0"/>
              <w:jc w:val="center"/>
              <w:rPr>
                <w:rFonts w:eastAsia="宋体" w:cs="Times New Roman"/>
                <w:sz w:val="21"/>
              </w:rPr>
            </w:pPr>
            <w:r>
              <w:rPr>
                <w:rFonts w:eastAsia="宋体" w:cs="Times New Roman"/>
                <w:sz w:val="21"/>
              </w:rPr>
              <w:t>50</w:t>
            </w:r>
          </w:p>
        </w:tc>
        <w:tc>
          <w:tcPr>
            <w:tcW w:w="1096" w:type="pct"/>
            <w:vAlign w:val="center"/>
          </w:tcPr>
          <w:p>
            <w:pPr>
              <w:spacing w:line="240" w:lineRule="auto"/>
              <w:ind w:firstLine="0" w:firstLineChars="0"/>
              <w:jc w:val="center"/>
              <w:rPr>
                <w:rFonts w:eastAsia="宋体" w:cs="Times New Roman"/>
                <w:sz w:val="21"/>
              </w:rPr>
            </w:pPr>
            <w:r>
              <w:rPr>
                <w:rFonts w:eastAsia="宋体" w:cs="Times New Roman"/>
                <w:sz w:val="21"/>
              </w:rPr>
              <w:t>/</w:t>
            </w:r>
          </w:p>
        </w:tc>
      </w:tr>
    </w:tbl>
    <w:p>
      <w:pPr>
        <w:ind w:firstLine="480"/>
        <w:rPr>
          <w:rFonts w:cs="Times New Roman"/>
        </w:rPr>
      </w:pPr>
      <w:r>
        <w:rPr>
          <w:rFonts w:cs="Times New Roman"/>
        </w:rPr>
        <w:t>由表5.5-1可知，</w:t>
      </w:r>
      <w:r>
        <w:rPr>
          <w:rFonts w:hint="eastAsia"/>
        </w:rPr>
        <w:t>曙光金铜矿</w:t>
      </w:r>
      <w:r>
        <w:rPr>
          <w:rFonts w:cs="Times New Roman"/>
        </w:rPr>
        <w:t>厂界昼、夜间噪声值均满足《工业企业厂界环境噪声排放标准》（GB12348-2008）</w:t>
      </w:r>
      <w:r>
        <w:rPr>
          <w:rFonts w:hint="eastAsia" w:cs="Times New Roman"/>
        </w:rPr>
        <w:t>3</w:t>
      </w:r>
      <w:r>
        <w:rPr>
          <w:rFonts w:cs="Times New Roman"/>
        </w:rPr>
        <w:t>类标准。</w:t>
      </w:r>
    </w:p>
    <w:p>
      <w:pPr>
        <w:pStyle w:val="3"/>
        <w:rPr>
          <w:rFonts w:cs="Times New Roman"/>
          <w:szCs w:val="28"/>
        </w:rPr>
      </w:pPr>
      <w:bookmarkStart w:id="108" w:name="_Toc127266656"/>
      <w:bookmarkStart w:id="109" w:name="_Toc94185491"/>
      <w:bookmarkStart w:id="110" w:name="_Toc97540964"/>
      <w:r>
        <w:rPr>
          <w:rFonts w:cs="Times New Roman"/>
          <w:szCs w:val="28"/>
        </w:rPr>
        <w:t>5.6 扬尘污染情况</w:t>
      </w:r>
      <w:bookmarkEnd w:id="108"/>
      <w:bookmarkEnd w:id="109"/>
      <w:bookmarkEnd w:id="110"/>
    </w:p>
    <w:p>
      <w:pPr>
        <w:ind w:firstLine="480"/>
        <w:rPr>
          <w:rFonts w:cs="Times New Roman"/>
        </w:rPr>
      </w:pPr>
      <w:r>
        <w:rPr>
          <w:rFonts w:hint="eastAsia" w:cs="Times New Roman"/>
        </w:rPr>
        <w:t>2022年度，</w:t>
      </w:r>
      <w:r>
        <w:rPr>
          <w:rFonts w:cs="Times New Roman"/>
        </w:rPr>
        <w:t>公司在</w:t>
      </w:r>
      <w:r>
        <w:rPr>
          <w:rFonts w:hint="eastAsia" w:cs="Times New Roman"/>
        </w:rPr>
        <w:t>1#排土场的平台和边坡进行了绿化，尾矿库竖向排水沟及南侧清污分流方涵施工过程中采用洒水降尘</w:t>
      </w:r>
      <w:r>
        <w:rPr>
          <w:rFonts w:cs="Times New Roman"/>
        </w:rPr>
        <w:t>，运输车辆用篷布遮盖防止扬尘。</w:t>
      </w:r>
    </w:p>
    <w:p>
      <w:pPr>
        <w:ind w:firstLine="480"/>
        <w:rPr>
          <w:rFonts w:cs="Times New Roman"/>
        </w:rPr>
      </w:pPr>
      <w:r>
        <w:rPr>
          <w:rFonts w:cs="Times New Roman"/>
        </w:rPr>
        <w:t>装卸物料采取应当采取密闭、围挡、遮盖、清扫、洒水、喷雾等措施，防止物料产生扬尘。</w:t>
      </w:r>
    </w:p>
    <w:p>
      <w:pPr>
        <w:ind w:firstLine="480"/>
        <w:rPr>
          <w:rFonts w:cs="Times New Roman"/>
        </w:rPr>
      </w:pPr>
    </w:p>
    <w:tbl>
      <w:tblPr>
        <w:tblStyle w:val="44"/>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264"/>
        <w:gridCol w:w="426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00" w:hRule="atLeast"/>
        </w:trPr>
        <w:tc>
          <w:tcPr>
            <w:tcW w:w="4264" w:type="dxa"/>
            <w:tcBorders>
              <w:top w:val="nil"/>
              <w:left w:val="nil"/>
              <w:bottom w:val="nil"/>
              <w:right w:val="nil"/>
            </w:tcBorders>
            <w:vAlign w:val="center"/>
          </w:tcPr>
          <w:p>
            <w:pPr>
              <w:adjustRightInd w:val="0"/>
              <w:snapToGrid w:val="0"/>
              <w:spacing w:line="240" w:lineRule="auto"/>
              <w:ind w:firstLine="0" w:firstLineChars="0"/>
              <w:jc w:val="center"/>
              <w:rPr>
                <w:rFonts w:cs="Times New Roman"/>
              </w:rPr>
            </w:pPr>
            <w:r>
              <w:rPr>
                <w:rFonts w:cs="Times New Roman"/>
              </w:rPr>
              <w:drawing>
                <wp:inline distT="0" distB="0" distL="0" distR="0">
                  <wp:extent cx="1982470" cy="1486535"/>
                  <wp:effectExtent l="0" t="0" r="0" b="0"/>
                  <wp:docPr id="7" name="图片 7" descr="C:\Users\ADMINI~1\AppData\Local\Temp\WeChat Files\5882cf53cc361acdf511045e0c8b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WeChat Files\5882cf53cc361acdf511045e0c8b1a6.jpg"/>
                          <pic:cNvPicPr>
                            <a:picLocks noChangeAspect="1" noChangeArrowheads="1"/>
                          </pic:cNvPicPr>
                        </pic:nvPicPr>
                        <pic:blipFill>
                          <a:blip r:embed="rId17"/>
                          <a:srcRect/>
                          <a:stretch>
                            <a:fillRect/>
                          </a:stretch>
                        </pic:blipFill>
                        <pic:spPr>
                          <a:xfrm>
                            <a:off x="0" y="0"/>
                            <a:ext cx="1985841" cy="1489380"/>
                          </a:xfrm>
                          <a:prstGeom prst="rect">
                            <a:avLst/>
                          </a:prstGeom>
                          <a:noFill/>
                          <a:ln>
                            <a:noFill/>
                          </a:ln>
                        </pic:spPr>
                      </pic:pic>
                    </a:graphicData>
                  </a:graphic>
                </wp:inline>
              </w:drawing>
            </w:r>
          </w:p>
        </w:tc>
        <w:tc>
          <w:tcPr>
            <w:tcW w:w="4264" w:type="dxa"/>
            <w:tcBorders>
              <w:top w:val="nil"/>
              <w:left w:val="nil"/>
              <w:bottom w:val="nil"/>
              <w:right w:val="nil"/>
            </w:tcBorders>
            <w:vAlign w:val="center"/>
          </w:tcPr>
          <w:p>
            <w:pPr>
              <w:adjustRightInd w:val="0"/>
              <w:snapToGrid w:val="0"/>
              <w:spacing w:line="240" w:lineRule="auto"/>
              <w:ind w:firstLine="0" w:firstLineChars="0"/>
              <w:jc w:val="center"/>
              <w:rPr>
                <w:rFonts w:cs="Times New Roman"/>
              </w:rPr>
            </w:pPr>
            <w:r>
              <w:rPr>
                <w:rFonts w:cs="Times New Roman"/>
              </w:rPr>
              <w:drawing>
                <wp:inline distT="0" distB="0" distL="0" distR="0">
                  <wp:extent cx="1982470" cy="1486535"/>
                  <wp:effectExtent l="0" t="0" r="0" b="0"/>
                  <wp:docPr id="8" name="图片 8" descr="C:\Users\ADMINI~1\AppData\Local\Temp\WeChat Files\ef16ac373b3d2dda8a980186638b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WeChat Files\ef16ac373b3d2dda8a980186638b838.jpg"/>
                          <pic:cNvPicPr>
                            <a:picLocks noChangeAspect="1" noChangeArrowheads="1"/>
                          </pic:cNvPicPr>
                        </pic:nvPicPr>
                        <pic:blipFill>
                          <a:blip r:embed="rId18"/>
                          <a:srcRect/>
                          <a:stretch>
                            <a:fillRect/>
                          </a:stretch>
                        </pic:blipFill>
                        <pic:spPr>
                          <a:xfrm>
                            <a:off x="0" y="0"/>
                            <a:ext cx="1985841" cy="1489380"/>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4" w:type="dxa"/>
            <w:tcBorders>
              <w:top w:val="nil"/>
              <w:left w:val="nil"/>
              <w:bottom w:val="nil"/>
              <w:right w:val="nil"/>
            </w:tcBorders>
            <w:vAlign w:val="center"/>
          </w:tcPr>
          <w:p>
            <w:pPr>
              <w:adjustRightInd w:val="0"/>
              <w:snapToGrid w:val="0"/>
              <w:ind w:firstLine="420"/>
              <w:jc w:val="center"/>
              <w:rPr>
                <w:rFonts w:eastAsia="宋体" w:cs="Times New Roman"/>
                <w:sz w:val="21"/>
                <w:szCs w:val="21"/>
              </w:rPr>
            </w:pPr>
            <w:r>
              <w:rPr>
                <w:rFonts w:hint="eastAsia" w:eastAsia="宋体" w:cs="Times New Roman"/>
                <w:sz w:val="21"/>
                <w:szCs w:val="21"/>
              </w:rPr>
              <w:t>尾矿库防洪工程施工现场</w:t>
            </w:r>
            <w:r>
              <w:rPr>
                <w:rFonts w:eastAsia="宋体" w:cs="Times New Roman"/>
                <w:sz w:val="21"/>
                <w:szCs w:val="21"/>
              </w:rPr>
              <w:t>洒水</w:t>
            </w:r>
          </w:p>
        </w:tc>
        <w:tc>
          <w:tcPr>
            <w:tcW w:w="4264" w:type="dxa"/>
            <w:tcBorders>
              <w:top w:val="nil"/>
              <w:left w:val="nil"/>
              <w:bottom w:val="nil"/>
              <w:right w:val="nil"/>
            </w:tcBorders>
            <w:vAlign w:val="center"/>
          </w:tcPr>
          <w:p>
            <w:pPr>
              <w:adjustRightInd w:val="0"/>
              <w:snapToGrid w:val="0"/>
              <w:ind w:firstLine="420"/>
              <w:jc w:val="center"/>
              <w:rPr>
                <w:rFonts w:eastAsia="宋体" w:cs="Times New Roman"/>
                <w:sz w:val="21"/>
                <w:szCs w:val="21"/>
              </w:rPr>
            </w:pPr>
            <w:r>
              <w:rPr>
                <w:rFonts w:hint="eastAsia" w:eastAsia="宋体" w:cs="Times New Roman"/>
                <w:sz w:val="21"/>
                <w:szCs w:val="21"/>
              </w:rPr>
              <w:t>排土场绿化</w:t>
            </w:r>
          </w:p>
        </w:tc>
      </w:tr>
    </w:tbl>
    <w:p>
      <w:pPr>
        <w:ind w:firstLine="0" w:firstLineChars="0"/>
        <w:jc w:val="center"/>
        <w:rPr>
          <w:rFonts w:eastAsia="黑体" w:cs="Times New Roman"/>
        </w:rPr>
      </w:pPr>
      <w:r>
        <w:rPr>
          <w:rFonts w:eastAsia="黑体" w:cs="Times New Roman"/>
        </w:rPr>
        <w:t>图5.6-1</w:t>
      </w:r>
      <w:r>
        <w:rPr>
          <w:rFonts w:hint="eastAsia" w:eastAsia="黑体" w:cs="Times New Roman"/>
        </w:rPr>
        <w:t xml:space="preserve">  部分</w:t>
      </w:r>
      <w:r>
        <w:rPr>
          <w:rFonts w:eastAsia="黑体" w:cs="Times New Roman"/>
        </w:rPr>
        <w:t>扬尘控制措施</w:t>
      </w:r>
    </w:p>
    <w:p>
      <w:pPr>
        <w:pStyle w:val="3"/>
        <w:rPr>
          <w:rFonts w:cs="Times New Roman"/>
          <w:szCs w:val="28"/>
        </w:rPr>
      </w:pPr>
      <w:bookmarkStart w:id="111" w:name="_Toc97540965"/>
      <w:bookmarkStart w:id="112" w:name="_Toc127266657"/>
      <w:bookmarkStart w:id="113" w:name="_Toc94185492"/>
      <w:r>
        <w:rPr>
          <w:rFonts w:cs="Times New Roman"/>
          <w:szCs w:val="28"/>
        </w:rPr>
        <w:t>5.7 排污许可证执行报告信息</w:t>
      </w:r>
      <w:bookmarkEnd w:id="111"/>
      <w:bookmarkEnd w:id="112"/>
      <w:bookmarkEnd w:id="113"/>
    </w:p>
    <w:p>
      <w:pPr>
        <w:ind w:firstLine="480"/>
        <w:rPr>
          <w:rFonts w:cs="Times New Roman"/>
        </w:rPr>
      </w:pPr>
      <w:r>
        <w:rPr>
          <w:rFonts w:cs="Times New Roman"/>
        </w:rPr>
        <w:t>202</w:t>
      </w:r>
      <w:r>
        <w:rPr>
          <w:rFonts w:hint="eastAsia" w:cs="Times New Roman"/>
        </w:rPr>
        <w:t>2</w:t>
      </w:r>
      <w:r>
        <w:rPr>
          <w:rFonts w:cs="Times New Roman"/>
        </w:rPr>
        <w:t>年，</w:t>
      </w:r>
      <w:r>
        <w:rPr>
          <w:rFonts w:hint="eastAsia" w:cs="Times New Roman"/>
        </w:rPr>
        <w:t>曙光金铜矿</w:t>
      </w:r>
      <w:r>
        <w:rPr>
          <w:rFonts w:cs="Times New Roman"/>
        </w:rPr>
        <w:t>已按照《排污许可管理条例》、《排污许可管理办法（试行）》等法律法规要求，及时在全国排污许可证管理信息平台上填报、提交了排污许可证执行报告</w:t>
      </w:r>
      <w:r>
        <w:rPr>
          <w:rFonts w:hint="eastAsia" w:cs="Times New Roman"/>
        </w:rPr>
        <w:t>5</w:t>
      </w:r>
      <w:r>
        <w:rPr>
          <w:rFonts w:cs="Times New Roman"/>
        </w:rPr>
        <w:t>次，包括季报和年报，并对以上执行报告进行了公开。</w:t>
      </w:r>
    </w:p>
    <w:p>
      <w:pPr>
        <w:ind w:firstLine="480"/>
        <w:rPr>
          <w:rFonts w:cs="Times New Roman"/>
        </w:rPr>
      </w:pPr>
      <w:r>
        <w:rPr>
          <w:rFonts w:cs="Times New Roman"/>
        </w:rPr>
        <w:t>排污许可证执行报告提交公开情况见图5.7-1。</w:t>
      </w:r>
    </w:p>
    <w:p>
      <w:pPr>
        <w:ind w:firstLine="0" w:firstLineChars="0"/>
        <w:jc w:val="center"/>
        <w:rPr>
          <w:rFonts w:cs="Times New Roman"/>
          <w:color w:val="FF0000"/>
        </w:rPr>
      </w:pPr>
      <w:r>
        <w:drawing>
          <wp:inline distT="0" distB="0" distL="0" distR="0">
            <wp:extent cx="5279390" cy="462597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rcRect b="11718"/>
                    <a:stretch>
                      <a:fillRect/>
                    </a:stretch>
                  </pic:blipFill>
                  <pic:spPr>
                    <a:xfrm>
                      <a:off x="0" y="0"/>
                      <a:ext cx="5278120" cy="4625075"/>
                    </a:xfrm>
                    <a:prstGeom prst="rect">
                      <a:avLst/>
                    </a:prstGeom>
                    <a:ln>
                      <a:noFill/>
                    </a:ln>
                  </pic:spPr>
                </pic:pic>
              </a:graphicData>
            </a:graphic>
          </wp:inline>
        </w:drawing>
      </w:r>
    </w:p>
    <w:p>
      <w:pPr>
        <w:ind w:firstLine="0" w:firstLineChars="0"/>
        <w:jc w:val="center"/>
        <w:rPr>
          <w:rFonts w:cs="Times New Roman"/>
          <w:color w:val="FF0000"/>
        </w:rPr>
      </w:pPr>
      <w:r>
        <w:drawing>
          <wp:inline distT="0" distB="0" distL="0" distR="0">
            <wp:extent cx="5261610" cy="148717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a:srcRect t="52402"/>
                    <a:stretch>
                      <a:fillRect/>
                    </a:stretch>
                  </pic:blipFill>
                  <pic:spPr>
                    <a:xfrm>
                      <a:off x="0" y="0"/>
                      <a:ext cx="5278120" cy="1492256"/>
                    </a:xfrm>
                    <a:prstGeom prst="rect">
                      <a:avLst/>
                    </a:prstGeom>
                    <a:ln>
                      <a:noFill/>
                    </a:ln>
                  </pic:spPr>
                </pic:pic>
              </a:graphicData>
            </a:graphic>
          </wp:inline>
        </w:drawing>
      </w:r>
    </w:p>
    <w:p>
      <w:pPr>
        <w:ind w:firstLine="0" w:firstLineChars="0"/>
        <w:jc w:val="center"/>
        <w:rPr>
          <w:rFonts w:eastAsia="黑体" w:cs="Times New Roman"/>
        </w:rPr>
      </w:pPr>
      <w:r>
        <w:rPr>
          <w:rFonts w:eastAsia="黑体" w:cs="Times New Roman"/>
        </w:rPr>
        <w:t>图5.</w:t>
      </w:r>
      <w:r>
        <w:rPr>
          <w:rFonts w:hint="eastAsia" w:eastAsia="黑体" w:cs="Times New Roman"/>
        </w:rPr>
        <w:t>7</w:t>
      </w:r>
      <w:r>
        <w:rPr>
          <w:rFonts w:eastAsia="黑体" w:cs="Times New Roman"/>
        </w:rPr>
        <w:t>-1</w:t>
      </w:r>
      <w:r>
        <w:rPr>
          <w:rFonts w:hint="eastAsia" w:eastAsia="黑体" w:cs="Times New Roman"/>
        </w:rPr>
        <w:t xml:space="preserve">  排污许可证执行报告公示情况</w:t>
      </w:r>
    </w:p>
    <w:p>
      <w:pPr>
        <w:ind w:firstLine="360" w:firstLineChars="150"/>
        <w:rPr>
          <w:rFonts w:cs="Times New Roman"/>
          <w:color w:val="FF0000"/>
        </w:rPr>
        <w:sectPr>
          <w:pgSz w:w="11906" w:h="16838"/>
          <w:pgMar w:top="1440" w:right="1797" w:bottom="1440" w:left="1797" w:header="851" w:footer="992" w:gutter="0"/>
          <w:cols w:space="425" w:num="1"/>
          <w:docGrid w:type="lines" w:linePitch="312" w:charSpace="0"/>
        </w:sectPr>
      </w:pPr>
    </w:p>
    <w:p>
      <w:pPr>
        <w:pStyle w:val="2"/>
        <w:spacing w:after="0"/>
        <w:rPr>
          <w:rFonts w:cs="Times New Roman"/>
          <w:sz w:val="30"/>
          <w:szCs w:val="30"/>
        </w:rPr>
      </w:pPr>
      <w:bookmarkStart w:id="114" w:name="_Toc94185493"/>
      <w:bookmarkStart w:id="115" w:name="_Toc127266658"/>
      <w:bookmarkStart w:id="116" w:name="_Toc97540966"/>
      <w:r>
        <w:rPr>
          <w:rFonts w:cs="Times New Roman"/>
          <w:sz w:val="30"/>
          <w:szCs w:val="30"/>
        </w:rPr>
        <w:t>6 碳排放信息</w:t>
      </w:r>
      <w:bookmarkEnd w:id="114"/>
      <w:bookmarkEnd w:id="115"/>
      <w:bookmarkEnd w:id="116"/>
    </w:p>
    <w:p>
      <w:pPr>
        <w:ind w:firstLine="480"/>
        <w:rPr>
          <w:rFonts w:cs="Times New Roman"/>
          <w:szCs w:val="24"/>
        </w:rPr>
      </w:pPr>
      <w:r>
        <w:rPr>
          <w:rFonts w:hint="eastAsia" w:cs="Times New Roman"/>
          <w:szCs w:val="24"/>
        </w:rPr>
        <w:t>有色金属采选业不属于</w:t>
      </w:r>
      <w:r>
        <w:rPr>
          <w:rFonts w:cs="Times New Roman"/>
          <w:szCs w:val="24"/>
        </w:rPr>
        <w:t>全国碳排放权交易市场覆盖行业</w:t>
      </w:r>
      <w:r>
        <w:rPr>
          <w:rFonts w:hint="eastAsia" w:cs="Times New Roman"/>
          <w:szCs w:val="24"/>
        </w:rPr>
        <w:t>，同时</w:t>
      </w:r>
      <w:r>
        <w:rPr>
          <w:rFonts w:hint="eastAsia" w:cs="Times New Roman"/>
        </w:rPr>
        <w:t>曙光金铜矿</w:t>
      </w:r>
      <w:r>
        <w:rPr>
          <w:rFonts w:cs="Times New Roman"/>
        </w:rPr>
        <w:t>未列入吉林省202</w:t>
      </w:r>
      <w:r>
        <w:rPr>
          <w:rFonts w:hint="eastAsia" w:cs="Times New Roman"/>
        </w:rPr>
        <w:t>2</w:t>
      </w:r>
      <w:r>
        <w:rPr>
          <w:rFonts w:cs="Times New Roman"/>
        </w:rPr>
        <w:t>年温室气体重点排放单位名录</w:t>
      </w:r>
      <w:r>
        <w:rPr>
          <w:rFonts w:cs="Times New Roman"/>
          <w:color w:val="191919"/>
          <w:shd w:val="clear" w:color="auto" w:fill="FFFFFF"/>
        </w:rPr>
        <w:t>。</w:t>
      </w:r>
    </w:p>
    <w:p>
      <w:pPr>
        <w:ind w:firstLine="480"/>
        <w:rPr>
          <w:rFonts w:cs="Times New Roman"/>
        </w:rPr>
      </w:pPr>
      <w:r>
        <w:rPr>
          <w:rFonts w:hint="eastAsia" w:cs="Times New Roman"/>
        </w:rPr>
        <w:t>曙光金铜矿</w:t>
      </w:r>
      <w:r>
        <w:rPr>
          <w:rFonts w:cs="Times New Roman"/>
        </w:rPr>
        <w:t>主要碳排放源包括：</w:t>
      </w:r>
      <w:r>
        <w:rPr>
          <w:rFonts w:cs="Times New Roman"/>
          <w:szCs w:val="24"/>
        </w:rPr>
        <w:t>石化燃料燃烧产生的二氧化碳排放、购入电力产生的二氧化碳排放。</w:t>
      </w:r>
      <w:r>
        <w:rPr>
          <w:rFonts w:hint="eastAsia" w:cs="Times New Roman"/>
        </w:rPr>
        <w:t>主要排放设施见表6-1。</w:t>
      </w:r>
    </w:p>
    <w:p>
      <w:pPr>
        <w:ind w:firstLine="0" w:firstLineChars="0"/>
        <w:jc w:val="center"/>
        <w:rPr>
          <w:rFonts w:eastAsia="黑体" w:cs="Times New Roman"/>
        </w:rPr>
      </w:pPr>
      <w:r>
        <w:rPr>
          <w:rFonts w:eastAsia="黑体" w:cs="Times New Roman"/>
        </w:rPr>
        <w:t>表6</w:t>
      </w:r>
      <w:r>
        <w:rPr>
          <w:rFonts w:hint="eastAsia" w:eastAsia="黑体" w:cs="Times New Roman"/>
        </w:rPr>
        <w:t xml:space="preserve">-1 </w:t>
      </w:r>
      <w:r>
        <w:rPr>
          <w:rFonts w:eastAsia="黑体" w:cs="Times New Roman"/>
        </w:rPr>
        <w:t xml:space="preserve"> </w:t>
      </w:r>
      <w:r>
        <w:rPr>
          <w:rFonts w:hint="eastAsia" w:eastAsia="黑体" w:cs="Times New Roman"/>
        </w:rPr>
        <w:t>涉及</w:t>
      </w:r>
      <w:r>
        <w:rPr>
          <w:rFonts w:eastAsia="黑体" w:cs="Times New Roman"/>
        </w:rPr>
        <w:t>主要</w:t>
      </w:r>
      <w:r>
        <w:rPr>
          <w:rFonts w:hint="eastAsia" w:eastAsia="黑体" w:cs="Times New Roman"/>
        </w:rPr>
        <w:t>碳排放</w:t>
      </w:r>
      <w:r>
        <w:rPr>
          <w:rFonts w:eastAsia="黑体" w:cs="Times New Roman"/>
        </w:rPr>
        <w:t>设备</w:t>
      </w:r>
    </w:p>
    <w:tbl>
      <w:tblPr>
        <w:tblStyle w:val="43"/>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16"/>
        <w:gridCol w:w="1896"/>
        <w:gridCol w:w="3156"/>
        <w:gridCol w:w="11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12" w:type="pct"/>
            <w:shd w:val="clear" w:color="auto" w:fill="auto"/>
            <w:noWrap/>
            <w:vAlign w:val="center"/>
          </w:tcPr>
          <w:p>
            <w:pPr>
              <w:spacing w:line="240" w:lineRule="auto"/>
              <w:ind w:firstLine="0" w:firstLineChars="0"/>
              <w:jc w:val="center"/>
              <w:rPr>
                <w:rFonts w:eastAsia="宋体" w:cs="Times New Roman"/>
                <w:sz w:val="21"/>
                <w:szCs w:val="21"/>
              </w:rPr>
            </w:pPr>
            <w:r>
              <w:rPr>
                <w:rFonts w:eastAsia="宋体" w:cs="Times New Roman"/>
                <w:sz w:val="21"/>
                <w:szCs w:val="21"/>
              </w:rPr>
              <w:t>排放设施名称</w:t>
            </w:r>
          </w:p>
        </w:tc>
        <w:tc>
          <w:tcPr>
            <w:tcW w:w="1112" w:type="pct"/>
            <w:shd w:val="clear" w:color="auto" w:fill="auto"/>
            <w:noWrap/>
            <w:vAlign w:val="center"/>
          </w:tcPr>
          <w:p>
            <w:pPr>
              <w:spacing w:line="240" w:lineRule="auto"/>
              <w:ind w:firstLine="0" w:firstLineChars="0"/>
              <w:jc w:val="center"/>
              <w:rPr>
                <w:rFonts w:eastAsia="宋体" w:cs="Times New Roman"/>
                <w:sz w:val="21"/>
                <w:szCs w:val="21"/>
              </w:rPr>
            </w:pPr>
            <w:r>
              <w:rPr>
                <w:rFonts w:eastAsia="宋体" w:cs="Times New Roman"/>
                <w:sz w:val="21"/>
                <w:szCs w:val="21"/>
              </w:rPr>
              <w:t>排放设施安装位置</w:t>
            </w:r>
          </w:p>
        </w:tc>
        <w:tc>
          <w:tcPr>
            <w:tcW w:w="1850" w:type="pct"/>
            <w:shd w:val="clear" w:color="auto" w:fill="auto"/>
            <w:noWrap/>
            <w:vAlign w:val="center"/>
          </w:tcPr>
          <w:p>
            <w:pPr>
              <w:spacing w:line="240" w:lineRule="auto"/>
              <w:ind w:firstLine="0" w:firstLineChars="0"/>
              <w:jc w:val="center"/>
              <w:rPr>
                <w:rFonts w:eastAsia="宋体" w:cs="Times New Roman"/>
                <w:sz w:val="21"/>
                <w:szCs w:val="21"/>
              </w:rPr>
            </w:pPr>
            <w:r>
              <w:rPr>
                <w:rFonts w:eastAsia="宋体" w:cs="Times New Roman"/>
                <w:sz w:val="21"/>
                <w:szCs w:val="21"/>
              </w:rPr>
              <w:t>排放过程及温室气体种类</w:t>
            </w:r>
          </w:p>
        </w:tc>
        <w:tc>
          <w:tcPr>
            <w:tcW w:w="926" w:type="pct"/>
            <w:shd w:val="clear" w:color="auto" w:fill="auto"/>
            <w:noWrap/>
            <w:vAlign w:val="center"/>
          </w:tcPr>
          <w:p>
            <w:pPr>
              <w:spacing w:line="240" w:lineRule="auto"/>
              <w:ind w:firstLine="0" w:firstLineChars="0"/>
              <w:jc w:val="center"/>
              <w:rPr>
                <w:rFonts w:eastAsia="宋体" w:cs="Times New Roman"/>
                <w:sz w:val="21"/>
                <w:szCs w:val="21"/>
              </w:rPr>
            </w:pPr>
            <w:r>
              <w:rPr>
                <w:rFonts w:eastAsia="宋体" w:cs="Times New Roman"/>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12" w:type="pct"/>
            <w:shd w:val="clear" w:color="auto" w:fill="auto"/>
            <w:noWrap/>
            <w:vAlign w:val="center"/>
          </w:tcPr>
          <w:p>
            <w:pPr>
              <w:spacing w:line="240" w:lineRule="auto"/>
              <w:ind w:firstLine="0" w:firstLineChars="0"/>
              <w:jc w:val="center"/>
              <w:rPr>
                <w:rFonts w:eastAsia="宋体" w:cs="Times New Roman"/>
                <w:sz w:val="21"/>
                <w:szCs w:val="21"/>
              </w:rPr>
            </w:pPr>
            <w:r>
              <w:rPr>
                <w:rFonts w:hint="eastAsia" w:eastAsia="宋体" w:cs="Times New Roman"/>
                <w:sz w:val="21"/>
                <w:szCs w:val="21"/>
              </w:rPr>
              <w:t>燃煤锅炉</w:t>
            </w:r>
          </w:p>
        </w:tc>
        <w:tc>
          <w:tcPr>
            <w:tcW w:w="1112" w:type="pct"/>
            <w:shd w:val="clear" w:color="auto" w:fill="auto"/>
            <w:noWrap/>
            <w:vAlign w:val="center"/>
          </w:tcPr>
          <w:p>
            <w:pPr>
              <w:spacing w:line="240" w:lineRule="auto"/>
              <w:ind w:firstLine="0" w:firstLineChars="0"/>
              <w:jc w:val="center"/>
              <w:rPr>
                <w:rFonts w:eastAsia="宋体" w:cs="Times New Roman"/>
                <w:sz w:val="21"/>
                <w:szCs w:val="21"/>
              </w:rPr>
            </w:pPr>
            <w:r>
              <w:rPr>
                <w:rFonts w:hint="eastAsia" w:eastAsia="宋体" w:cs="Times New Roman"/>
                <w:sz w:val="21"/>
                <w:szCs w:val="21"/>
              </w:rPr>
              <w:t>锅炉房</w:t>
            </w:r>
          </w:p>
        </w:tc>
        <w:tc>
          <w:tcPr>
            <w:tcW w:w="1850" w:type="pct"/>
            <w:shd w:val="clear" w:color="auto" w:fill="auto"/>
            <w:noWrap/>
            <w:vAlign w:val="center"/>
          </w:tcPr>
          <w:p>
            <w:pPr>
              <w:spacing w:line="240" w:lineRule="auto"/>
              <w:ind w:firstLine="0" w:firstLineChars="0"/>
              <w:jc w:val="center"/>
              <w:rPr>
                <w:rFonts w:eastAsia="宋体" w:cs="Times New Roman"/>
                <w:sz w:val="21"/>
                <w:szCs w:val="21"/>
              </w:rPr>
            </w:pPr>
            <w:r>
              <w:rPr>
                <w:rFonts w:eastAsia="宋体" w:cs="Times New Roman"/>
                <w:sz w:val="21"/>
                <w:szCs w:val="21"/>
              </w:rPr>
              <w:t>燃煤燃烧产生的二氧化碳</w:t>
            </w:r>
          </w:p>
        </w:tc>
        <w:tc>
          <w:tcPr>
            <w:tcW w:w="926" w:type="pct"/>
            <w:vMerge w:val="restart"/>
            <w:shd w:val="clear" w:color="auto" w:fill="auto"/>
            <w:vAlign w:val="center"/>
          </w:tcPr>
          <w:p>
            <w:pPr>
              <w:spacing w:line="240" w:lineRule="auto"/>
              <w:ind w:firstLine="0" w:firstLineChars="0"/>
              <w:jc w:val="center"/>
              <w:rPr>
                <w:rFonts w:eastAsia="宋体" w:cs="Times New Roman"/>
                <w:sz w:val="21"/>
                <w:szCs w:val="21"/>
              </w:rPr>
            </w:pPr>
            <w:r>
              <w:rPr>
                <w:rFonts w:eastAsia="宋体" w:cs="Times New Roman"/>
                <w:sz w:val="21"/>
                <w:szCs w:val="21"/>
              </w:rPr>
              <w:t>燃料燃烧排放相关的排放设施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12" w:type="pct"/>
            <w:shd w:val="clear" w:color="auto" w:fill="auto"/>
            <w:noWrap/>
            <w:vAlign w:val="center"/>
          </w:tcPr>
          <w:p>
            <w:pPr>
              <w:spacing w:line="240" w:lineRule="auto"/>
              <w:ind w:firstLine="0" w:firstLineChars="0"/>
              <w:jc w:val="center"/>
              <w:rPr>
                <w:rFonts w:eastAsia="宋体" w:cs="Times New Roman"/>
                <w:sz w:val="21"/>
                <w:szCs w:val="21"/>
              </w:rPr>
            </w:pPr>
            <w:r>
              <w:rPr>
                <w:rFonts w:hint="eastAsia" w:eastAsia="宋体" w:cs="Times New Roman"/>
                <w:sz w:val="21"/>
                <w:szCs w:val="21"/>
              </w:rPr>
              <w:t>挖掘机、</w:t>
            </w:r>
            <w:r>
              <w:rPr>
                <w:rFonts w:eastAsia="宋体" w:cs="Times New Roman"/>
                <w:bCs/>
                <w:color w:val="000000"/>
                <w:kern w:val="0"/>
                <w:sz w:val="21"/>
                <w:szCs w:val="21"/>
              </w:rPr>
              <w:t>铲车、推土机</w:t>
            </w:r>
          </w:p>
        </w:tc>
        <w:tc>
          <w:tcPr>
            <w:tcW w:w="1112" w:type="pct"/>
            <w:shd w:val="clear" w:color="auto" w:fill="auto"/>
            <w:noWrap/>
            <w:vAlign w:val="center"/>
          </w:tcPr>
          <w:p>
            <w:pPr>
              <w:spacing w:line="240" w:lineRule="auto"/>
              <w:ind w:firstLine="0" w:firstLineChars="0"/>
              <w:jc w:val="center"/>
              <w:rPr>
                <w:rFonts w:eastAsia="宋体" w:cs="Times New Roman"/>
                <w:sz w:val="21"/>
                <w:szCs w:val="21"/>
              </w:rPr>
            </w:pPr>
            <w:r>
              <w:rPr>
                <w:rFonts w:hint="eastAsia" w:eastAsia="宋体" w:cs="Times New Roman"/>
                <w:sz w:val="21"/>
                <w:szCs w:val="21"/>
              </w:rPr>
              <w:t>采矿场</w:t>
            </w:r>
          </w:p>
        </w:tc>
        <w:tc>
          <w:tcPr>
            <w:tcW w:w="1850" w:type="pct"/>
            <w:shd w:val="clear" w:color="auto" w:fill="auto"/>
            <w:noWrap/>
            <w:vAlign w:val="center"/>
          </w:tcPr>
          <w:p>
            <w:pPr>
              <w:spacing w:line="240" w:lineRule="auto"/>
              <w:ind w:firstLine="0" w:firstLineChars="0"/>
              <w:jc w:val="center"/>
              <w:rPr>
                <w:rFonts w:eastAsia="宋体" w:cs="Times New Roman"/>
                <w:sz w:val="21"/>
                <w:szCs w:val="21"/>
              </w:rPr>
            </w:pPr>
            <w:r>
              <w:rPr>
                <w:rFonts w:eastAsia="宋体" w:cs="Times New Roman"/>
                <w:sz w:val="21"/>
                <w:szCs w:val="21"/>
              </w:rPr>
              <w:t>柴油燃料产生的二氧化碳</w:t>
            </w:r>
          </w:p>
        </w:tc>
        <w:tc>
          <w:tcPr>
            <w:tcW w:w="926" w:type="pct"/>
            <w:vMerge w:val="continue"/>
            <w:shd w:val="clear" w:color="auto" w:fill="auto"/>
            <w:vAlign w:val="center"/>
          </w:tcPr>
          <w:p>
            <w:pPr>
              <w:spacing w:line="240" w:lineRule="auto"/>
              <w:ind w:firstLine="0" w:firstLineChars="0"/>
              <w:jc w:val="center"/>
              <w:rPr>
                <w:rFonts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12" w:type="pct"/>
            <w:shd w:val="clear" w:color="auto" w:fill="auto"/>
            <w:noWrap/>
            <w:vAlign w:val="center"/>
          </w:tcPr>
          <w:p>
            <w:pPr>
              <w:spacing w:line="240" w:lineRule="auto"/>
              <w:ind w:firstLine="0" w:firstLineChars="0"/>
              <w:jc w:val="center"/>
              <w:rPr>
                <w:rFonts w:eastAsia="宋体" w:cs="Times New Roman"/>
                <w:sz w:val="21"/>
                <w:szCs w:val="21"/>
              </w:rPr>
            </w:pPr>
            <w:r>
              <w:rPr>
                <w:rFonts w:eastAsia="宋体" w:cs="Times New Roman"/>
                <w:bCs/>
                <w:color w:val="000000"/>
                <w:kern w:val="0"/>
                <w:sz w:val="21"/>
                <w:szCs w:val="21"/>
              </w:rPr>
              <w:t>内燃凿岩机</w:t>
            </w:r>
          </w:p>
        </w:tc>
        <w:tc>
          <w:tcPr>
            <w:tcW w:w="1112" w:type="pct"/>
            <w:shd w:val="clear" w:color="auto" w:fill="auto"/>
            <w:noWrap/>
            <w:vAlign w:val="center"/>
          </w:tcPr>
          <w:p>
            <w:pPr>
              <w:spacing w:line="240" w:lineRule="auto"/>
              <w:ind w:firstLine="0" w:firstLineChars="0"/>
              <w:jc w:val="center"/>
              <w:rPr>
                <w:rFonts w:eastAsia="宋体" w:cs="Times New Roman"/>
                <w:sz w:val="21"/>
                <w:szCs w:val="21"/>
              </w:rPr>
            </w:pPr>
            <w:r>
              <w:rPr>
                <w:rFonts w:hint="eastAsia" w:eastAsia="宋体" w:cs="Times New Roman"/>
                <w:sz w:val="21"/>
                <w:szCs w:val="21"/>
              </w:rPr>
              <w:t>采矿场</w:t>
            </w:r>
          </w:p>
        </w:tc>
        <w:tc>
          <w:tcPr>
            <w:tcW w:w="1850" w:type="pct"/>
            <w:shd w:val="clear" w:color="auto" w:fill="auto"/>
            <w:noWrap/>
            <w:vAlign w:val="center"/>
          </w:tcPr>
          <w:p>
            <w:pPr>
              <w:spacing w:line="240" w:lineRule="auto"/>
              <w:ind w:firstLine="0" w:firstLineChars="0"/>
              <w:jc w:val="center"/>
              <w:rPr>
                <w:rFonts w:eastAsia="宋体" w:cs="Times New Roman"/>
                <w:sz w:val="21"/>
                <w:szCs w:val="21"/>
              </w:rPr>
            </w:pPr>
            <w:r>
              <w:rPr>
                <w:rFonts w:eastAsia="宋体" w:cs="Times New Roman"/>
                <w:sz w:val="21"/>
                <w:szCs w:val="21"/>
              </w:rPr>
              <w:t>柴油燃料产生的二氧化碳</w:t>
            </w:r>
          </w:p>
        </w:tc>
        <w:tc>
          <w:tcPr>
            <w:tcW w:w="926" w:type="pct"/>
            <w:vMerge w:val="continue"/>
            <w:shd w:val="clear" w:color="auto" w:fill="auto"/>
            <w:vAlign w:val="center"/>
          </w:tcPr>
          <w:p>
            <w:pPr>
              <w:spacing w:line="240" w:lineRule="auto"/>
              <w:ind w:firstLine="0" w:firstLineChars="0"/>
              <w:jc w:val="center"/>
              <w:rPr>
                <w:rFonts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12" w:type="pct"/>
            <w:shd w:val="clear" w:color="auto" w:fill="auto"/>
            <w:noWrap/>
            <w:vAlign w:val="center"/>
          </w:tcPr>
          <w:p>
            <w:pPr>
              <w:spacing w:line="240" w:lineRule="auto"/>
              <w:ind w:firstLine="0" w:firstLineChars="0"/>
              <w:jc w:val="center"/>
              <w:rPr>
                <w:rFonts w:eastAsia="宋体" w:cs="Times New Roman"/>
                <w:sz w:val="21"/>
                <w:szCs w:val="21"/>
              </w:rPr>
            </w:pPr>
            <w:r>
              <w:rPr>
                <w:rFonts w:hint="eastAsia" w:eastAsia="宋体" w:cs="Times New Roman"/>
                <w:sz w:val="21"/>
                <w:szCs w:val="21"/>
              </w:rPr>
              <w:t>运输车辆</w:t>
            </w:r>
          </w:p>
        </w:tc>
        <w:tc>
          <w:tcPr>
            <w:tcW w:w="1112" w:type="pct"/>
            <w:shd w:val="clear" w:color="auto" w:fill="auto"/>
            <w:noWrap/>
            <w:vAlign w:val="center"/>
          </w:tcPr>
          <w:p>
            <w:pPr>
              <w:spacing w:line="240" w:lineRule="auto"/>
              <w:ind w:firstLine="0" w:firstLineChars="0"/>
              <w:jc w:val="center"/>
              <w:rPr>
                <w:rFonts w:eastAsia="宋体" w:cs="Times New Roman"/>
                <w:sz w:val="21"/>
                <w:szCs w:val="21"/>
              </w:rPr>
            </w:pPr>
            <w:r>
              <w:rPr>
                <w:rFonts w:hint="eastAsia" w:eastAsia="宋体" w:cs="Times New Roman"/>
                <w:sz w:val="21"/>
                <w:szCs w:val="21"/>
              </w:rPr>
              <w:t>采矿场</w:t>
            </w:r>
          </w:p>
        </w:tc>
        <w:tc>
          <w:tcPr>
            <w:tcW w:w="1850" w:type="pct"/>
            <w:shd w:val="clear" w:color="auto" w:fill="auto"/>
            <w:noWrap/>
            <w:vAlign w:val="center"/>
          </w:tcPr>
          <w:p>
            <w:pPr>
              <w:spacing w:line="240" w:lineRule="auto"/>
              <w:ind w:firstLine="0" w:firstLineChars="0"/>
              <w:jc w:val="center"/>
              <w:rPr>
                <w:rFonts w:eastAsia="宋体" w:cs="Times New Roman"/>
                <w:sz w:val="21"/>
                <w:szCs w:val="21"/>
              </w:rPr>
            </w:pPr>
            <w:r>
              <w:rPr>
                <w:rFonts w:eastAsia="宋体" w:cs="Times New Roman"/>
                <w:sz w:val="21"/>
                <w:szCs w:val="21"/>
              </w:rPr>
              <w:t>柴油</w:t>
            </w:r>
            <w:r>
              <w:rPr>
                <w:rFonts w:hint="eastAsia" w:eastAsia="宋体" w:cs="Times New Roman"/>
                <w:sz w:val="21"/>
                <w:szCs w:val="21"/>
              </w:rPr>
              <w:t>、汽油</w:t>
            </w:r>
            <w:r>
              <w:rPr>
                <w:rFonts w:eastAsia="宋体" w:cs="Times New Roman"/>
                <w:sz w:val="21"/>
                <w:szCs w:val="21"/>
              </w:rPr>
              <w:t>燃料产生的二氧化碳</w:t>
            </w:r>
          </w:p>
        </w:tc>
        <w:tc>
          <w:tcPr>
            <w:tcW w:w="926" w:type="pct"/>
            <w:vMerge w:val="continue"/>
            <w:vAlign w:val="center"/>
          </w:tcPr>
          <w:p>
            <w:pPr>
              <w:spacing w:line="240" w:lineRule="auto"/>
              <w:ind w:firstLine="0" w:firstLineChars="0"/>
              <w:jc w:val="left"/>
              <w:rPr>
                <w:rFonts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12" w:type="pct"/>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hint="eastAsia" w:eastAsia="宋体" w:cs="Times New Roman"/>
                <w:color w:val="000000"/>
                <w:kern w:val="0"/>
                <w:sz w:val="21"/>
                <w:szCs w:val="21"/>
              </w:rPr>
              <w:t>空压机</w:t>
            </w:r>
          </w:p>
        </w:tc>
        <w:tc>
          <w:tcPr>
            <w:tcW w:w="1112" w:type="pct"/>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hint="eastAsia" w:eastAsia="宋体" w:cs="Times New Roman"/>
                <w:sz w:val="21"/>
                <w:szCs w:val="21"/>
              </w:rPr>
              <w:t>采矿场</w:t>
            </w:r>
          </w:p>
        </w:tc>
        <w:tc>
          <w:tcPr>
            <w:tcW w:w="1850" w:type="pct"/>
            <w:shd w:val="clear" w:color="auto" w:fill="auto"/>
            <w:noWrap/>
            <w:vAlign w:val="center"/>
          </w:tcPr>
          <w:p>
            <w:pPr>
              <w:spacing w:line="240" w:lineRule="auto"/>
              <w:ind w:firstLine="0" w:firstLineChars="0"/>
              <w:jc w:val="center"/>
              <w:rPr>
                <w:rFonts w:eastAsia="宋体" w:cs="Times New Roman"/>
                <w:sz w:val="21"/>
                <w:szCs w:val="21"/>
              </w:rPr>
            </w:pPr>
            <w:r>
              <w:rPr>
                <w:rFonts w:eastAsia="宋体" w:cs="Times New Roman"/>
                <w:sz w:val="21"/>
                <w:szCs w:val="21"/>
              </w:rPr>
              <w:t>——</w:t>
            </w:r>
          </w:p>
        </w:tc>
        <w:tc>
          <w:tcPr>
            <w:tcW w:w="926" w:type="pct"/>
            <w:vMerge w:val="restart"/>
            <w:shd w:val="clear" w:color="auto" w:fill="auto"/>
            <w:vAlign w:val="center"/>
          </w:tcPr>
          <w:p>
            <w:pPr>
              <w:spacing w:line="240" w:lineRule="auto"/>
              <w:ind w:firstLine="0" w:firstLineChars="0"/>
              <w:jc w:val="center"/>
              <w:rPr>
                <w:rFonts w:eastAsia="宋体" w:cs="Times New Roman"/>
                <w:sz w:val="21"/>
                <w:szCs w:val="21"/>
              </w:rPr>
            </w:pPr>
            <w:r>
              <w:rPr>
                <w:rFonts w:eastAsia="宋体" w:cs="Times New Roman"/>
                <w:sz w:val="21"/>
                <w:szCs w:val="21"/>
              </w:rPr>
              <w:t>主要耗电设施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12" w:type="pct"/>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hint="eastAsia" w:eastAsia="宋体" w:cs="Times New Roman"/>
                <w:color w:val="000000"/>
                <w:kern w:val="0"/>
                <w:sz w:val="21"/>
                <w:szCs w:val="21"/>
              </w:rPr>
              <w:t>钻机</w:t>
            </w:r>
          </w:p>
        </w:tc>
        <w:tc>
          <w:tcPr>
            <w:tcW w:w="1112" w:type="pct"/>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hint="eastAsia" w:eastAsia="宋体" w:cs="Times New Roman"/>
                <w:sz w:val="21"/>
                <w:szCs w:val="21"/>
              </w:rPr>
              <w:t>采矿场</w:t>
            </w:r>
          </w:p>
        </w:tc>
        <w:tc>
          <w:tcPr>
            <w:tcW w:w="1850" w:type="pct"/>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sz w:val="21"/>
                <w:szCs w:val="21"/>
              </w:rPr>
              <w:t>——</w:t>
            </w:r>
          </w:p>
        </w:tc>
        <w:tc>
          <w:tcPr>
            <w:tcW w:w="926" w:type="pct"/>
            <w:vMerge w:val="continue"/>
            <w:vAlign w:val="center"/>
          </w:tcPr>
          <w:p>
            <w:pPr>
              <w:widowControl/>
              <w:spacing w:line="240" w:lineRule="auto"/>
              <w:ind w:firstLine="0" w:firstLineChars="0"/>
              <w:jc w:val="left"/>
              <w:rPr>
                <w:rFonts w:eastAsia="宋体" w:cs="Times New Roman"/>
                <w:color w:val="00000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12" w:type="pct"/>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hint="eastAsia" w:eastAsia="宋体" w:cs="Times New Roman"/>
                <w:color w:val="000000"/>
                <w:kern w:val="0"/>
                <w:sz w:val="21"/>
                <w:szCs w:val="21"/>
              </w:rPr>
              <w:t>鼓引风机、水泵</w:t>
            </w:r>
          </w:p>
        </w:tc>
        <w:tc>
          <w:tcPr>
            <w:tcW w:w="1112" w:type="pct"/>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hint="eastAsia" w:eastAsia="宋体" w:cs="Times New Roman"/>
                <w:color w:val="000000"/>
                <w:kern w:val="0"/>
                <w:sz w:val="21"/>
                <w:szCs w:val="21"/>
              </w:rPr>
              <w:t>锅炉房</w:t>
            </w:r>
          </w:p>
        </w:tc>
        <w:tc>
          <w:tcPr>
            <w:tcW w:w="1850" w:type="pct"/>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sz w:val="21"/>
                <w:szCs w:val="21"/>
              </w:rPr>
              <w:t>——</w:t>
            </w:r>
          </w:p>
        </w:tc>
        <w:tc>
          <w:tcPr>
            <w:tcW w:w="926" w:type="pct"/>
            <w:vMerge w:val="continue"/>
            <w:vAlign w:val="center"/>
          </w:tcPr>
          <w:p>
            <w:pPr>
              <w:widowControl/>
              <w:spacing w:line="240" w:lineRule="auto"/>
              <w:ind w:firstLine="0" w:firstLineChars="0"/>
              <w:jc w:val="left"/>
              <w:rPr>
                <w:rFonts w:eastAsia="宋体" w:cs="Times New Roman"/>
                <w:color w:val="00000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12" w:type="pct"/>
            <w:shd w:val="clear" w:color="auto" w:fill="auto"/>
            <w:noWrap/>
            <w:vAlign w:val="center"/>
          </w:tcPr>
          <w:p>
            <w:pPr>
              <w:spacing w:line="240" w:lineRule="auto"/>
              <w:ind w:firstLine="0" w:firstLineChars="0"/>
              <w:jc w:val="center"/>
              <w:rPr>
                <w:rFonts w:eastAsia="宋体" w:cs="Times New Roman"/>
                <w:sz w:val="21"/>
                <w:szCs w:val="21"/>
              </w:rPr>
            </w:pPr>
            <w:r>
              <w:rPr>
                <w:rFonts w:hint="eastAsia" w:eastAsia="宋体" w:cs="Times New Roman"/>
                <w:sz w:val="21"/>
                <w:szCs w:val="21"/>
              </w:rPr>
              <w:t>破碎筛分设备、泵</w:t>
            </w:r>
          </w:p>
        </w:tc>
        <w:tc>
          <w:tcPr>
            <w:tcW w:w="1112" w:type="pct"/>
            <w:shd w:val="clear" w:color="auto" w:fill="auto"/>
            <w:noWrap/>
            <w:vAlign w:val="center"/>
          </w:tcPr>
          <w:p>
            <w:pPr>
              <w:spacing w:line="240" w:lineRule="auto"/>
              <w:ind w:firstLine="0" w:firstLineChars="0"/>
              <w:jc w:val="center"/>
              <w:rPr>
                <w:rFonts w:eastAsia="宋体" w:cs="Times New Roman"/>
                <w:sz w:val="21"/>
                <w:szCs w:val="21"/>
              </w:rPr>
            </w:pPr>
            <w:r>
              <w:rPr>
                <w:rFonts w:hint="eastAsia" w:eastAsia="宋体" w:cs="Times New Roman"/>
                <w:sz w:val="21"/>
                <w:szCs w:val="21"/>
              </w:rPr>
              <w:t>选矿厂</w:t>
            </w:r>
          </w:p>
        </w:tc>
        <w:tc>
          <w:tcPr>
            <w:tcW w:w="1850" w:type="pct"/>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sz w:val="21"/>
                <w:szCs w:val="21"/>
              </w:rPr>
              <w:t>——</w:t>
            </w:r>
          </w:p>
        </w:tc>
        <w:tc>
          <w:tcPr>
            <w:tcW w:w="926" w:type="pct"/>
            <w:vMerge w:val="continue"/>
            <w:vAlign w:val="center"/>
          </w:tcPr>
          <w:p>
            <w:pPr>
              <w:widowControl/>
              <w:spacing w:line="240" w:lineRule="auto"/>
              <w:ind w:firstLine="0" w:firstLineChars="0"/>
              <w:jc w:val="left"/>
              <w:rPr>
                <w:rFonts w:eastAsia="宋体" w:cs="Times New Roman"/>
                <w:color w:val="00000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12" w:type="pct"/>
            <w:shd w:val="clear" w:color="auto" w:fill="auto"/>
            <w:noWrap/>
            <w:vAlign w:val="center"/>
          </w:tcPr>
          <w:p>
            <w:pPr>
              <w:spacing w:line="240" w:lineRule="auto"/>
              <w:ind w:firstLine="0" w:firstLineChars="0"/>
              <w:jc w:val="center"/>
              <w:rPr>
                <w:rFonts w:eastAsia="宋体" w:cs="Times New Roman"/>
                <w:sz w:val="21"/>
                <w:szCs w:val="21"/>
              </w:rPr>
            </w:pPr>
            <w:r>
              <w:rPr>
                <w:rFonts w:hint="eastAsia" w:eastAsia="宋体" w:cs="Times New Roman"/>
                <w:sz w:val="21"/>
                <w:szCs w:val="21"/>
              </w:rPr>
              <w:t>除尘设施</w:t>
            </w:r>
          </w:p>
        </w:tc>
        <w:tc>
          <w:tcPr>
            <w:tcW w:w="1112" w:type="pct"/>
            <w:shd w:val="clear" w:color="auto" w:fill="auto"/>
            <w:noWrap/>
            <w:vAlign w:val="center"/>
          </w:tcPr>
          <w:p>
            <w:pPr>
              <w:spacing w:line="240" w:lineRule="auto"/>
              <w:ind w:firstLine="0" w:firstLineChars="0"/>
              <w:jc w:val="center"/>
              <w:rPr>
                <w:rFonts w:eastAsia="宋体" w:cs="Times New Roman"/>
                <w:sz w:val="21"/>
                <w:szCs w:val="21"/>
              </w:rPr>
            </w:pPr>
            <w:r>
              <w:rPr>
                <w:rFonts w:hint="eastAsia" w:eastAsia="宋体" w:cs="Times New Roman"/>
                <w:sz w:val="21"/>
                <w:szCs w:val="21"/>
              </w:rPr>
              <w:t>选矿厂</w:t>
            </w:r>
          </w:p>
        </w:tc>
        <w:tc>
          <w:tcPr>
            <w:tcW w:w="1850" w:type="pct"/>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w:t>
            </w:r>
          </w:p>
        </w:tc>
        <w:tc>
          <w:tcPr>
            <w:tcW w:w="926" w:type="pct"/>
            <w:vMerge w:val="continue"/>
            <w:vAlign w:val="center"/>
          </w:tcPr>
          <w:p>
            <w:pPr>
              <w:widowControl/>
              <w:spacing w:line="240" w:lineRule="auto"/>
              <w:ind w:firstLine="0" w:firstLineChars="0"/>
              <w:jc w:val="left"/>
              <w:rPr>
                <w:rFonts w:eastAsia="宋体" w:cs="Times New Roman"/>
                <w:color w:val="000000"/>
                <w:kern w:val="0"/>
                <w:sz w:val="21"/>
                <w:szCs w:val="21"/>
              </w:rPr>
            </w:pPr>
          </w:p>
        </w:tc>
      </w:tr>
    </w:tbl>
    <w:p>
      <w:pPr>
        <w:ind w:firstLine="480"/>
        <w:rPr>
          <w:rFonts w:cs="Times New Roman"/>
        </w:rPr>
      </w:pPr>
      <w:r>
        <w:rPr>
          <w:rFonts w:cs="Times New Roman"/>
          <w:szCs w:val="24"/>
        </w:rPr>
        <w:t>根</w:t>
      </w:r>
      <w:r>
        <w:rPr>
          <w:rFonts w:cs="Times New Roman"/>
        </w:rPr>
        <w:t>据国家发展和改革委员会发布的《</w:t>
      </w:r>
      <w:r>
        <w:rPr>
          <w:rFonts w:hint="eastAsia" w:cs="Times New Roman"/>
        </w:rPr>
        <w:t>矿山</w:t>
      </w:r>
      <w:r>
        <w:rPr>
          <w:rFonts w:cs="Times New Roman"/>
        </w:rPr>
        <w:t>企业温室气体排放核算方法与报告指南（试行）》，经核算，</w:t>
      </w:r>
      <w:r>
        <w:rPr>
          <w:rFonts w:hint="eastAsia" w:cs="Times New Roman"/>
        </w:rPr>
        <w:t>曙光金铜矿</w:t>
      </w:r>
      <w:r>
        <w:rPr>
          <w:rFonts w:cs="Times New Roman"/>
        </w:rPr>
        <w:t>202</w:t>
      </w:r>
      <w:r>
        <w:rPr>
          <w:rFonts w:hint="eastAsia" w:cs="Times New Roman"/>
        </w:rPr>
        <w:t>2</w:t>
      </w:r>
      <w:r>
        <w:rPr>
          <w:rFonts w:cs="Times New Roman"/>
        </w:rPr>
        <w:t>年二氧化碳排放量为</w:t>
      </w:r>
      <w:r>
        <w:rPr>
          <w:rFonts w:hint="eastAsia" w:cs="Times New Roman"/>
        </w:rPr>
        <w:t>22.0080万吨，比2021年的排放量23.4288万吨减少1.4208万吨</w:t>
      </w:r>
      <w:r>
        <w:rPr>
          <w:rFonts w:cs="Times New Roman"/>
        </w:rPr>
        <w:t>。</w:t>
      </w:r>
    </w:p>
    <w:p>
      <w:pPr>
        <w:ind w:firstLine="0" w:firstLineChars="0"/>
        <w:jc w:val="center"/>
        <w:rPr>
          <w:rFonts w:eastAsia="黑体" w:cs="Times New Roman"/>
        </w:rPr>
      </w:pPr>
      <w:r>
        <w:rPr>
          <w:rFonts w:eastAsia="黑体" w:cs="Times New Roman"/>
        </w:rPr>
        <w:t>表6</w:t>
      </w:r>
      <w:r>
        <w:rPr>
          <w:rFonts w:hint="eastAsia" w:eastAsia="黑体" w:cs="Times New Roman"/>
        </w:rPr>
        <w:t xml:space="preserve">-2 </w:t>
      </w:r>
      <w:r>
        <w:rPr>
          <w:rFonts w:eastAsia="黑体" w:cs="Times New Roman"/>
        </w:rPr>
        <w:t xml:space="preserve"> </w:t>
      </w:r>
      <w:r>
        <w:rPr>
          <w:rFonts w:hint="eastAsia" w:eastAsia="黑体" w:cs="Times New Roman"/>
        </w:rPr>
        <w:t>曙光金铜矿2022年二氧化碳排放量计算表</w:t>
      </w:r>
    </w:p>
    <w:tbl>
      <w:tblPr>
        <w:tblStyle w:val="43"/>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8"/>
        <w:gridCol w:w="849"/>
        <w:gridCol w:w="302"/>
        <w:gridCol w:w="976"/>
        <w:gridCol w:w="445"/>
        <w:gridCol w:w="1112"/>
        <w:gridCol w:w="568"/>
        <w:gridCol w:w="848"/>
        <w:gridCol w:w="1138"/>
        <w:gridCol w:w="147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00" w:type="pct"/>
            <w:gridSpan w:val="10"/>
            <w:tcBorders>
              <w:top w:val="single" w:color="auto" w:sz="12" w:space="0"/>
              <w:bottom w:val="single" w:color="auto" w:sz="6" w:space="0"/>
            </w:tcBorders>
            <w:shd w:val="clear" w:color="auto" w:fill="auto"/>
            <w:vAlign w:val="center"/>
          </w:tcPr>
          <w:p>
            <w:pPr>
              <w:widowControl/>
              <w:snapToGrid w:val="0"/>
              <w:spacing w:line="240" w:lineRule="auto"/>
              <w:ind w:firstLine="0" w:firstLineChars="0"/>
              <w:jc w:val="center"/>
              <w:rPr>
                <w:rFonts w:eastAsia="宋体" w:cs="Times New Roman"/>
                <w:bCs/>
                <w:color w:val="000000"/>
                <w:kern w:val="0"/>
                <w:sz w:val="21"/>
                <w:szCs w:val="21"/>
              </w:rPr>
            </w:pPr>
            <w:r>
              <w:rPr>
                <w:rFonts w:eastAsia="宋体" w:cs="Times New Roman"/>
                <w:bCs/>
                <w:color w:val="000000"/>
                <w:kern w:val="0"/>
                <w:sz w:val="21"/>
                <w:szCs w:val="21"/>
              </w:rPr>
              <w:t>一、 燃料燃烧排放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480" w:type="pct"/>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序号</w:t>
            </w:r>
          </w:p>
        </w:tc>
        <w:tc>
          <w:tcPr>
            <w:tcW w:w="498" w:type="pct"/>
            <w:tcBorders>
              <w:top w:val="single" w:color="auto" w:sz="6" w:space="0"/>
              <w:bottom w:val="single" w:color="auto" w:sz="6" w:space="0"/>
            </w:tcBorders>
            <w:shd w:val="clear" w:color="auto" w:fill="auto"/>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燃料品种</w:t>
            </w:r>
          </w:p>
        </w:tc>
        <w:tc>
          <w:tcPr>
            <w:tcW w:w="749" w:type="pct"/>
            <w:gridSpan w:val="2"/>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消耗量</w:t>
            </w:r>
            <w:r>
              <w:rPr>
                <w:rFonts w:hint="eastAsia" w:eastAsia="宋体" w:cs="Times New Roman"/>
                <w:color w:val="000000"/>
                <w:kern w:val="0"/>
                <w:sz w:val="21"/>
                <w:szCs w:val="21"/>
              </w:rPr>
              <w:t>（</w:t>
            </w:r>
            <w:r>
              <w:rPr>
                <w:rFonts w:eastAsia="宋体" w:cs="Times New Roman"/>
                <w:color w:val="000000"/>
                <w:kern w:val="0"/>
                <w:sz w:val="21"/>
                <w:szCs w:val="21"/>
              </w:rPr>
              <w:t>吨或万立方米</w:t>
            </w:r>
            <w:r>
              <w:rPr>
                <w:rFonts w:hint="eastAsia" w:eastAsia="宋体" w:cs="Times New Roman"/>
                <w:color w:val="000000"/>
                <w:kern w:val="0"/>
                <w:sz w:val="21"/>
                <w:szCs w:val="21"/>
              </w:rPr>
              <w:t>）</w:t>
            </w:r>
          </w:p>
        </w:tc>
        <w:tc>
          <w:tcPr>
            <w:tcW w:w="913" w:type="pct"/>
            <w:gridSpan w:val="2"/>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低位热值发热量</w:t>
            </w:r>
            <w:r>
              <w:rPr>
                <w:rFonts w:hint="eastAsia" w:eastAsia="宋体" w:cs="Times New Roman"/>
                <w:color w:val="000000"/>
                <w:kern w:val="0"/>
                <w:sz w:val="21"/>
                <w:szCs w:val="21"/>
              </w:rPr>
              <w:t>（</w:t>
            </w:r>
            <w:r>
              <w:rPr>
                <w:rFonts w:eastAsia="宋体" w:cs="Times New Roman"/>
                <w:color w:val="000000"/>
                <w:kern w:val="0"/>
                <w:sz w:val="21"/>
                <w:szCs w:val="21"/>
              </w:rPr>
              <w:t>GJ/吨，GJ/万立方米</w:t>
            </w:r>
            <w:r>
              <w:rPr>
                <w:rFonts w:hint="eastAsia" w:eastAsia="宋体" w:cs="Times New Roman"/>
                <w:color w:val="000000"/>
                <w:kern w:val="0"/>
                <w:sz w:val="21"/>
                <w:szCs w:val="21"/>
              </w:rPr>
              <w:t>）</w:t>
            </w:r>
          </w:p>
        </w:tc>
        <w:tc>
          <w:tcPr>
            <w:tcW w:w="830" w:type="pct"/>
            <w:gridSpan w:val="2"/>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单位热值含碳量</w:t>
            </w:r>
            <w:r>
              <w:rPr>
                <w:rFonts w:hint="eastAsia" w:eastAsia="宋体" w:cs="Times New Roman"/>
                <w:color w:val="000000"/>
                <w:kern w:val="0"/>
                <w:sz w:val="21"/>
                <w:szCs w:val="21"/>
              </w:rPr>
              <w:t>（</w:t>
            </w:r>
            <w:r>
              <w:rPr>
                <w:rFonts w:eastAsia="宋体" w:cs="Times New Roman"/>
                <w:color w:val="000000"/>
                <w:kern w:val="0"/>
                <w:sz w:val="21"/>
                <w:szCs w:val="21"/>
              </w:rPr>
              <w:t>吨/</w:t>
            </w:r>
            <w:r>
              <w:rPr>
                <w:rFonts w:hint="eastAsia" w:eastAsia="宋体" w:cs="Times New Roman"/>
                <w:color w:val="000000"/>
                <w:kern w:val="0"/>
                <w:sz w:val="21"/>
                <w:szCs w:val="21"/>
              </w:rPr>
              <w:t>GJ）</w:t>
            </w:r>
          </w:p>
        </w:tc>
        <w:tc>
          <w:tcPr>
            <w:tcW w:w="667" w:type="pct"/>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燃料碳氧化率</w:t>
            </w:r>
            <w:r>
              <w:rPr>
                <w:rFonts w:hint="eastAsia" w:eastAsia="宋体" w:cs="Times New Roman"/>
                <w:color w:val="000000"/>
                <w:kern w:val="0"/>
                <w:sz w:val="21"/>
                <w:szCs w:val="21"/>
              </w:rPr>
              <w:t>（</w:t>
            </w:r>
            <w:r>
              <w:rPr>
                <w:rFonts w:eastAsia="宋体" w:cs="Times New Roman"/>
                <w:color w:val="000000"/>
                <w:kern w:val="0"/>
                <w:sz w:val="21"/>
                <w:szCs w:val="21"/>
              </w:rPr>
              <w:t>%</w:t>
            </w:r>
            <w:r>
              <w:rPr>
                <w:rFonts w:hint="eastAsia" w:eastAsia="宋体" w:cs="Times New Roman"/>
                <w:color w:val="000000"/>
                <w:kern w:val="0"/>
                <w:sz w:val="21"/>
                <w:szCs w:val="21"/>
              </w:rPr>
              <w:t>）</w:t>
            </w:r>
          </w:p>
        </w:tc>
        <w:tc>
          <w:tcPr>
            <w:tcW w:w="863" w:type="pct"/>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CO</w:t>
            </w:r>
            <w:r>
              <w:rPr>
                <w:rFonts w:eastAsia="宋体" w:cs="Times New Roman"/>
                <w:color w:val="000000"/>
                <w:kern w:val="0"/>
                <w:sz w:val="21"/>
                <w:szCs w:val="21"/>
                <w:vertAlign w:val="subscript"/>
              </w:rPr>
              <w:t>2</w:t>
            </w:r>
            <w:r>
              <w:rPr>
                <w:rFonts w:eastAsia="宋体" w:cs="Times New Roman"/>
                <w:color w:val="000000"/>
                <w:kern w:val="0"/>
                <w:sz w:val="21"/>
                <w:szCs w:val="21"/>
              </w:rPr>
              <w:t>排放量</w:t>
            </w:r>
            <w:r>
              <w:rPr>
                <w:rFonts w:hint="eastAsia" w:eastAsia="宋体" w:cs="Times New Roman"/>
                <w:color w:val="000000"/>
                <w:kern w:val="0"/>
                <w:sz w:val="21"/>
                <w:szCs w:val="21"/>
              </w:rPr>
              <w:t>（</w:t>
            </w:r>
            <w:r>
              <w:rPr>
                <w:rFonts w:eastAsia="宋体" w:cs="Times New Roman"/>
                <w:color w:val="000000"/>
                <w:kern w:val="0"/>
                <w:sz w:val="21"/>
                <w:szCs w:val="21"/>
              </w:rPr>
              <w:t>吨</w:t>
            </w:r>
            <w:r>
              <w:rPr>
                <w:rFonts w:hint="eastAsia" w:eastAsia="宋体" w:cs="Times New Roman"/>
                <w:color w:val="000000"/>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480" w:type="pct"/>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1</w:t>
            </w:r>
          </w:p>
        </w:tc>
        <w:tc>
          <w:tcPr>
            <w:tcW w:w="498" w:type="pct"/>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褐煤</w:t>
            </w:r>
          </w:p>
        </w:tc>
        <w:tc>
          <w:tcPr>
            <w:tcW w:w="749" w:type="pct"/>
            <w:gridSpan w:val="2"/>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11500</w:t>
            </w:r>
          </w:p>
        </w:tc>
        <w:tc>
          <w:tcPr>
            <w:tcW w:w="913" w:type="pct"/>
            <w:gridSpan w:val="2"/>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14.449</w:t>
            </w:r>
          </w:p>
        </w:tc>
        <w:tc>
          <w:tcPr>
            <w:tcW w:w="830" w:type="pct"/>
            <w:gridSpan w:val="2"/>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kern w:val="0"/>
                <w:sz w:val="21"/>
                <w:szCs w:val="21"/>
              </w:rPr>
            </w:pPr>
            <w:r>
              <w:rPr>
                <w:rFonts w:hint="eastAsia" w:eastAsia="宋体" w:cs="Times New Roman"/>
                <w:kern w:val="0"/>
                <w:sz w:val="21"/>
                <w:szCs w:val="21"/>
              </w:rPr>
              <w:t>0.028</w:t>
            </w:r>
          </w:p>
        </w:tc>
        <w:tc>
          <w:tcPr>
            <w:tcW w:w="667" w:type="pct"/>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96</w:t>
            </w:r>
          </w:p>
        </w:tc>
        <w:tc>
          <w:tcPr>
            <w:tcW w:w="863" w:type="pct"/>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16377.07456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480" w:type="pct"/>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w:t>
            </w:r>
          </w:p>
        </w:tc>
        <w:tc>
          <w:tcPr>
            <w:tcW w:w="498" w:type="pct"/>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kern w:val="0"/>
                <w:sz w:val="21"/>
                <w:szCs w:val="21"/>
              </w:rPr>
            </w:pPr>
            <w:r>
              <w:rPr>
                <w:rFonts w:eastAsia="宋体" w:cs="Times New Roman"/>
                <w:kern w:val="0"/>
                <w:sz w:val="21"/>
                <w:szCs w:val="21"/>
              </w:rPr>
              <w:t>柴油</w:t>
            </w:r>
          </w:p>
        </w:tc>
        <w:tc>
          <w:tcPr>
            <w:tcW w:w="749" w:type="pct"/>
            <w:gridSpan w:val="2"/>
            <w:tcBorders>
              <w:top w:val="single" w:color="auto" w:sz="6" w:space="0"/>
              <w:bottom w:val="single" w:color="auto" w:sz="6" w:space="0"/>
            </w:tcBorders>
            <w:shd w:val="clear" w:color="auto" w:fill="auto"/>
            <w:noWrap/>
            <w:vAlign w:val="center"/>
          </w:tcPr>
          <w:p>
            <w:pPr>
              <w:snapToGrid w:val="0"/>
              <w:spacing w:line="240" w:lineRule="auto"/>
              <w:ind w:firstLine="0" w:firstLineChars="0"/>
              <w:jc w:val="center"/>
              <w:rPr>
                <w:rFonts w:eastAsia="宋体" w:cs="Times New Roman"/>
                <w:kern w:val="0"/>
                <w:sz w:val="21"/>
                <w:szCs w:val="21"/>
              </w:rPr>
            </w:pPr>
            <w:r>
              <w:rPr>
                <w:rFonts w:hint="eastAsia" w:eastAsia="宋体" w:cs="Times New Roman"/>
                <w:kern w:val="0"/>
                <w:sz w:val="21"/>
                <w:szCs w:val="21"/>
              </w:rPr>
              <w:t>165.29</w:t>
            </w:r>
          </w:p>
        </w:tc>
        <w:tc>
          <w:tcPr>
            <w:tcW w:w="913" w:type="pct"/>
            <w:gridSpan w:val="2"/>
            <w:tcBorders>
              <w:top w:val="single" w:color="auto" w:sz="6" w:space="0"/>
              <w:bottom w:val="single" w:color="auto" w:sz="6" w:space="0"/>
            </w:tcBorders>
            <w:shd w:val="clear" w:color="auto" w:fill="auto"/>
            <w:noWrap/>
            <w:vAlign w:val="center"/>
          </w:tcPr>
          <w:p>
            <w:pPr>
              <w:snapToGrid w:val="0"/>
              <w:spacing w:line="240" w:lineRule="auto"/>
              <w:ind w:firstLine="0" w:firstLineChars="0"/>
              <w:jc w:val="center"/>
              <w:rPr>
                <w:rFonts w:eastAsia="宋体" w:cs="Times New Roman"/>
                <w:kern w:val="0"/>
                <w:sz w:val="21"/>
                <w:szCs w:val="21"/>
              </w:rPr>
            </w:pPr>
            <w:r>
              <w:rPr>
                <w:rFonts w:hint="eastAsia" w:eastAsia="宋体" w:cs="Times New Roman"/>
                <w:kern w:val="0"/>
                <w:sz w:val="21"/>
                <w:szCs w:val="21"/>
              </w:rPr>
              <w:t>43.33</w:t>
            </w:r>
          </w:p>
        </w:tc>
        <w:tc>
          <w:tcPr>
            <w:tcW w:w="830" w:type="pct"/>
            <w:gridSpan w:val="2"/>
            <w:tcBorders>
              <w:top w:val="single" w:color="auto" w:sz="6" w:space="0"/>
              <w:bottom w:val="single" w:color="auto" w:sz="6" w:space="0"/>
            </w:tcBorders>
            <w:shd w:val="clear" w:color="auto" w:fill="auto"/>
            <w:noWrap/>
            <w:vAlign w:val="center"/>
          </w:tcPr>
          <w:p>
            <w:pPr>
              <w:snapToGrid w:val="0"/>
              <w:spacing w:line="240" w:lineRule="auto"/>
              <w:ind w:firstLine="0" w:firstLineChars="0"/>
              <w:jc w:val="center"/>
              <w:rPr>
                <w:rFonts w:eastAsia="宋体" w:cs="Times New Roman"/>
                <w:kern w:val="0"/>
                <w:sz w:val="21"/>
                <w:szCs w:val="21"/>
              </w:rPr>
            </w:pPr>
            <w:r>
              <w:rPr>
                <w:rFonts w:hint="eastAsia" w:eastAsia="宋体" w:cs="Times New Roman"/>
                <w:kern w:val="0"/>
                <w:sz w:val="21"/>
                <w:szCs w:val="21"/>
              </w:rPr>
              <w:t>0.0202</w:t>
            </w:r>
          </w:p>
        </w:tc>
        <w:tc>
          <w:tcPr>
            <w:tcW w:w="667" w:type="pct"/>
            <w:tcBorders>
              <w:top w:val="single" w:color="auto" w:sz="6" w:space="0"/>
              <w:bottom w:val="single" w:color="auto" w:sz="6" w:space="0"/>
            </w:tcBorders>
            <w:shd w:val="clear" w:color="auto" w:fill="auto"/>
            <w:noWrap/>
            <w:vAlign w:val="center"/>
          </w:tcPr>
          <w:p>
            <w:pPr>
              <w:snapToGrid w:val="0"/>
              <w:spacing w:line="240" w:lineRule="auto"/>
              <w:ind w:firstLine="0" w:firstLineChars="0"/>
              <w:jc w:val="center"/>
              <w:rPr>
                <w:rFonts w:eastAsia="宋体" w:cs="Times New Roman"/>
                <w:kern w:val="0"/>
                <w:sz w:val="21"/>
                <w:szCs w:val="21"/>
              </w:rPr>
            </w:pPr>
            <w:r>
              <w:rPr>
                <w:rFonts w:hint="eastAsia" w:eastAsia="宋体" w:cs="Times New Roman"/>
                <w:kern w:val="0"/>
                <w:sz w:val="21"/>
                <w:szCs w:val="21"/>
              </w:rPr>
              <w:t>98</w:t>
            </w:r>
          </w:p>
        </w:tc>
        <w:tc>
          <w:tcPr>
            <w:tcW w:w="863" w:type="pct"/>
            <w:tcBorders>
              <w:top w:val="single" w:color="auto" w:sz="6" w:space="0"/>
              <w:bottom w:val="single" w:color="auto" w:sz="6" w:space="0"/>
            </w:tcBorders>
            <w:shd w:val="clear" w:color="auto" w:fill="auto"/>
            <w:noWrap/>
            <w:vAlign w:val="center"/>
          </w:tcPr>
          <w:p>
            <w:pPr>
              <w:snapToGrid w:val="0"/>
              <w:spacing w:line="240" w:lineRule="auto"/>
              <w:ind w:firstLine="0" w:firstLineChars="0"/>
              <w:jc w:val="center"/>
              <w:rPr>
                <w:rFonts w:eastAsia="宋体" w:cs="Times New Roman"/>
                <w:kern w:val="0"/>
                <w:sz w:val="21"/>
                <w:szCs w:val="21"/>
              </w:rPr>
            </w:pPr>
            <w:r>
              <w:rPr>
                <w:rFonts w:hint="eastAsia" w:eastAsia="宋体" w:cs="Times New Roman"/>
                <w:kern w:val="0"/>
                <w:sz w:val="21"/>
                <w:szCs w:val="21"/>
              </w:rPr>
              <w:t>519.8572969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480" w:type="pct"/>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w:t>
            </w:r>
          </w:p>
        </w:tc>
        <w:tc>
          <w:tcPr>
            <w:tcW w:w="498" w:type="pct"/>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汽油</w:t>
            </w:r>
          </w:p>
        </w:tc>
        <w:tc>
          <w:tcPr>
            <w:tcW w:w="749" w:type="pct"/>
            <w:gridSpan w:val="2"/>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41.79</w:t>
            </w:r>
          </w:p>
        </w:tc>
        <w:tc>
          <w:tcPr>
            <w:tcW w:w="913" w:type="pct"/>
            <w:gridSpan w:val="2"/>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44.8</w:t>
            </w:r>
          </w:p>
        </w:tc>
        <w:tc>
          <w:tcPr>
            <w:tcW w:w="830" w:type="pct"/>
            <w:gridSpan w:val="2"/>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0.0189</w:t>
            </w:r>
          </w:p>
        </w:tc>
        <w:tc>
          <w:tcPr>
            <w:tcW w:w="667" w:type="pct"/>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98</w:t>
            </w:r>
          </w:p>
        </w:tc>
        <w:tc>
          <w:tcPr>
            <w:tcW w:w="863" w:type="pct"/>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127.1480475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4137" w:type="pct"/>
            <w:gridSpan w:val="9"/>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合计（1）</w:t>
            </w:r>
          </w:p>
        </w:tc>
        <w:tc>
          <w:tcPr>
            <w:tcW w:w="863" w:type="pct"/>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color w:val="000000"/>
                <w:kern w:val="0"/>
                <w:sz w:val="21"/>
                <w:szCs w:val="21"/>
              </w:rPr>
            </w:pPr>
            <w:r>
              <w:rPr>
                <w:rFonts w:hint="eastAsia" w:eastAsia="宋体" w:cs="Times New Roman"/>
                <w:color w:val="000000"/>
                <w:kern w:val="0"/>
                <w:sz w:val="21"/>
                <w:szCs w:val="21"/>
              </w:rPr>
              <w:t>17024.0799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4137" w:type="pct"/>
            <w:gridSpan w:val="9"/>
            <w:tcBorders>
              <w:top w:val="single" w:color="auto" w:sz="6" w:space="0"/>
              <w:bottom w:val="single" w:color="auto" w:sz="6" w:space="0"/>
            </w:tcBorders>
            <w:shd w:val="clear" w:color="auto" w:fill="auto"/>
            <w:vAlign w:val="center"/>
          </w:tcPr>
          <w:p>
            <w:pPr>
              <w:widowControl/>
              <w:snapToGrid w:val="0"/>
              <w:spacing w:line="240" w:lineRule="auto"/>
              <w:ind w:firstLine="0" w:firstLineChars="0"/>
              <w:jc w:val="center"/>
              <w:rPr>
                <w:rFonts w:eastAsia="宋体" w:cs="Times New Roman"/>
                <w:bCs/>
                <w:color w:val="000000"/>
                <w:kern w:val="0"/>
                <w:sz w:val="21"/>
                <w:szCs w:val="21"/>
              </w:rPr>
            </w:pPr>
            <w:r>
              <w:rPr>
                <w:rFonts w:hint="eastAsia" w:eastAsia="宋体" w:cs="Times New Roman"/>
                <w:bCs/>
                <w:color w:val="000000"/>
                <w:kern w:val="0"/>
                <w:sz w:val="21"/>
                <w:szCs w:val="21"/>
              </w:rPr>
              <w:t>二</w:t>
            </w:r>
            <w:r>
              <w:rPr>
                <w:rFonts w:eastAsia="宋体" w:cs="Times New Roman"/>
                <w:bCs/>
                <w:color w:val="000000"/>
                <w:kern w:val="0"/>
                <w:sz w:val="21"/>
                <w:szCs w:val="21"/>
              </w:rPr>
              <w:t>、净购入电力产生的排放</w:t>
            </w:r>
          </w:p>
        </w:tc>
        <w:tc>
          <w:tcPr>
            <w:tcW w:w="863" w:type="pct"/>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color w:val="00000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480" w:type="pct"/>
            <w:vMerge w:val="restart"/>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类型</w:t>
            </w:r>
          </w:p>
        </w:tc>
        <w:tc>
          <w:tcPr>
            <w:tcW w:w="2493" w:type="pct"/>
            <w:gridSpan w:val="6"/>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净购入量</w:t>
            </w:r>
          </w:p>
        </w:tc>
        <w:tc>
          <w:tcPr>
            <w:tcW w:w="1164" w:type="pct"/>
            <w:gridSpan w:val="2"/>
            <w:vMerge w:val="restart"/>
            <w:tcBorders>
              <w:top w:val="single" w:color="auto" w:sz="6" w:space="0"/>
              <w:bottom w:val="single" w:color="auto" w:sz="6" w:space="0"/>
            </w:tcBorders>
            <w:shd w:val="clear" w:color="auto" w:fill="auto"/>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CO</w:t>
            </w:r>
            <w:r>
              <w:rPr>
                <w:rFonts w:eastAsia="宋体" w:cs="Times New Roman"/>
                <w:color w:val="000000"/>
                <w:kern w:val="0"/>
                <w:sz w:val="21"/>
                <w:szCs w:val="21"/>
                <w:vertAlign w:val="subscript"/>
              </w:rPr>
              <w:t>2</w:t>
            </w:r>
            <w:r>
              <w:rPr>
                <w:rFonts w:eastAsia="宋体" w:cs="Times New Roman"/>
                <w:color w:val="000000"/>
                <w:kern w:val="0"/>
                <w:sz w:val="21"/>
                <w:szCs w:val="21"/>
              </w:rPr>
              <w:t>排放因子（采用国家最新发布值）</w:t>
            </w:r>
            <w:r>
              <w:rPr>
                <w:rFonts w:hint="eastAsia" w:eastAsia="宋体" w:cs="Times New Roman"/>
                <w:color w:val="000000"/>
                <w:kern w:val="0"/>
                <w:sz w:val="21"/>
                <w:szCs w:val="21"/>
              </w:rPr>
              <w:t>（吨/MWh）</w:t>
            </w:r>
          </w:p>
        </w:tc>
        <w:tc>
          <w:tcPr>
            <w:tcW w:w="863" w:type="pct"/>
            <w:vMerge w:val="restart"/>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CO</w:t>
            </w:r>
            <w:r>
              <w:rPr>
                <w:rFonts w:eastAsia="宋体" w:cs="Times New Roman"/>
                <w:color w:val="000000"/>
                <w:kern w:val="0"/>
                <w:sz w:val="21"/>
                <w:szCs w:val="21"/>
                <w:vertAlign w:val="subscript"/>
              </w:rPr>
              <w:t>2</w:t>
            </w:r>
            <w:r>
              <w:rPr>
                <w:rFonts w:eastAsia="宋体" w:cs="Times New Roman"/>
                <w:color w:val="000000"/>
                <w:kern w:val="0"/>
                <w:sz w:val="21"/>
                <w:szCs w:val="21"/>
              </w:rPr>
              <w:t>排放量</w:t>
            </w:r>
            <w:r>
              <w:rPr>
                <w:rFonts w:hint="eastAsia" w:eastAsia="宋体" w:cs="Times New Roman"/>
                <w:color w:val="000000"/>
                <w:kern w:val="0"/>
                <w:sz w:val="21"/>
                <w:szCs w:val="21"/>
              </w:rPr>
              <w:t>（吨）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480" w:type="pct"/>
            <w:vMerge w:val="continue"/>
            <w:tcBorders>
              <w:top w:val="single" w:color="auto" w:sz="6" w:space="0"/>
              <w:bottom w:val="single" w:color="auto" w:sz="6" w:space="0"/>
            </w:tcBorders>
            <w:shd w:val="clear" w:color="auto" w:fill="auto"/>
            <w:vAlign w:val="center"/>
          </w:tcPr>
          <w:p>
            <w:pPr>
              <w:widowControl/>
              <w:snapToGrid w:val="0"/>
              <w:spacing w:line="240" w:lineRule="auto"/>
              <w:ind w:firstLine="0" w:firstLineChars="0"/>
              <w:jc w:val="center"/>
              <w:rPr>
                <w:rFonts w:eastAsia="宋体" w:cs="Times New Roman"/>
                <w:color w:val="000000"/>
                <w:kern w:val="0"/>
                <w:sz w:val="21"/>
                <w:szCs w:val="21"/>
              </w:rPr>
            </w:pPr>
          </w:p>
        </w:tc>
        <w:tc>
          <w:tcPr>
            <w:tcW w:w="675" w:type="pct"/>
            <w:gridSpan w:val="2"/>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购买的电量</w:t>
            </w:r>
            <w:r>
              <w:rPr>
                <w:rFonts w:hint="eastAsia" w:eastAsia="宋体" w:cs="Times New Roman"/>
                <w:color w:val="000000"/>
                <w:kern w:val="0"/>
                <w:sz w:val="21"/>
                <w:szCs w:val="21"/>
              </w:rPr>
              <w:t>（MWh）</w:t>
            </w:r>
          </w:p>
        </w:tc>
        <w:tc>
          <w:tcPr>
            <w:tcW w:w="833" w:type="pct"/>
            <w:gridSpan w:val="2"/>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外销的电量</w:t>
            </w:r>
            <w:r>
              <w:rPr>
                <w:rFonts w:hint="eastAsia" w:eastAsia="宋体" w:cs="Times New Roman"/>
                <w:color w:val="000000"/>
                <w:kern w:val="0"/>
                <w:sz w:val="21"/>
                <w:szCs w:val="21"/>
              </w:rPr>
              <w:t>（MWh）</w:t>
            </w:r>
          </w:p>
        </w:tc>
        <w:tc>
          <w:tcPr>
            <w:tcW w:w="985" w:type="pct"/>
            <w:gridSpan w:val="2"/>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净购入量</w:t>
            </w:r>
            <w:r>
              <w:rPr>
                <w:rFonts w:hint="eastAsia" w:eastAsia="宋体" w:cs="Times New Roman"/>
                <w:color w:val="000000"/>
                <w:kern w:val="0"/>
                <w:sz w:val="21"/>
                <w:szCs w:val="21"/>
              </w:rPr>
              <w:t>（MWh）</w:t>
            </w:r>
          </w:p>
        </w:tc>
        <w:tc>
          <w:tcPr>
            <w:tcW w:w="1164" w:type="pct"/>
            <w:gridSpan w:val="2"/>
            <w:vMerge w:val="continue"/>
            <w:tcBorders>
              <w:top w:val="single" w:color="auto" w:sz="6" w:space="0"/>
              <w:bottom w:val="single" w:color="auto" w:sz="6" w:space="0"/>
            </w:tcBorders>
            <w:shd w:val="clear" w:color="auto" w:fill="auto"/>
            <w:vAlign w:val="center"/>
          </w:tcPr>
          <w:p>
            <w:pPr>
              <w:widowControl/>
              <w:snapToGrid w:val="0"/>
              <w:spacing w:line="240" w:lineRule="auto"/>
              <w:ind w:firstLine="0" w:firstLineChars="0"/>
              <w:jc w:val="center"/>
              <w:rPr>
                <w:rFonts w:eastAsia="宋体" w:cs="Times New Roman"/>
                <w:color w:val="000000"/>
                <w:kern w:val="0"/>
                <w:sz w:val="21"/>
                <w:szCs w:val="21"/>
              </w:rPr>
            </w:pPr>
          </w:p>
        </w:tc>
        <w:tc>
          <w:tcPr>
            <w:tcW w:w="863" w:type="pct"/>
            <w:vMerge w:val="continue"/>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color w:val="00000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480" w:type="pct"/>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电力</w:t>
            </w:r>
          </w:p>
        </w:tc>
        <w:tc>
          <w:tcPr>
            <w:tcW w:w="675" w:type="pct"/>
            <w:gridSpan w:val="2"/>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261367</w:t>
            </w:r>
          </w:p>
        </w:tc>
        <w:tc>
          <w:tcPr>
            <w:tcW w:w="833" w:type="pct"/>
            <w:gridSpan w:val="2"/>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color w:val="000000"/>
                <w:kern w:val="0"/>
                <w:sz w:val="21"/>
                <w:szCs w:val="21"/>
              </w:rPr>
            </w:pPr>
            <w:r>
              <w:rPr>
                <w:rFonts w:hint="eastAsia" w:eastAsia="宋体" w:cs="Times New Roman"/>
                <w:color w:val="000000"/>
                <w:kern w:val="0"/>
                <w:sz w:val="21"/>
                <w:szCs w:val="21"/>
              </w:rPr>
              <w:t>0</w:t>
            </w:r>
          </w:p>
        </w:tc>
        <w:tc>
          <w:tcPr>
            <w:tcW w:w="985" w:type="pct"/>
            <w:gridSpan w:val="2"/>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261367</w:t>
            </w:r>
          </w:p>
        </w:tc>
        <w:tc>
          <w:tcPr>
            <w:tcW w:w="1164" w:type="pct"/>
            <w:gridSpan w:val="2"/>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0.7769</w:t>
            </w:r>
          </w:p>
        </w:tc>
        <w:tc>
          <w:tcPr>
            <w:tcW w:w="863" w:type="pct"/>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203055.7877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4137" w:type="pct"/>
            <w:gridSpan w:val="9"/>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合计（</w:t>
            </w:r>
            <w:r>
              <w:rPr>
                <w:rFonts w:hint="eastAsia" w:eastAsia="宋体" w:cs="Times New Roman"/>
                <w:color w:val="000000"/>
                <w:kern w:val="0"/>
                <w:sz w:val="21"/>
                <w:szCs w:val="21"/>
              </w:rPr>
              <w:t>2</w:t>
            </w:r>
            <w:r>
              <w:rPr>
                <w:rFonts w:eastAsia="宋体" w:cs="Times New Roman"/>
                <w:color w:val="000000"/>
                <w:kern w:val="0"/>
                <w:sz w:val="21"/>
                <w:szCs w:val="21"/>
              </w:rPr>
              <w:t>）</w:t>
            </w:r>
          </w:p>
        </w:tc>
        <w:tc>
          <w:tcPr>
            <w:tcW w:w="863" w:type="pct"/>
            <w:tcBorders>
              <w:top w:val="single" w:color="auto" w:sz="6" w:space="0"/>
              <w:bottom w:val="single" w:color="auto" w:sz="6" w:space="0"/>
            </w:tcBorders>
            <w:shd w:val="clear" w:color="auto" w:fill="auto"/>
            <w:noWrap/>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203055.7877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4137" w:type="pct"/>
            <w:gridSpan w:val="9"/>
            <w:tcBorders>
              <w:top w:val="single" w:color="auto" w:sz="6" w:space="0"/>
              <w:bottom w:val="single" w:color="auto" w:sz="12" w:space="0"/>
            </w:tcBorders>
            <w:shd w:val="clear" w:color="auto" w:fill="auto"/>
            <w:noWrap/>
            <w:vAlign w:val="center"/>
          </w:tcPr>
          <w:p>
            <w:pPr>
              <w:widowControl/>
              <w:snapToGrid w:val="0"/>
              <w:spacing w:line="240" w:lineRule="auto"/>
              <w:ind w:firstLine="0" w:firstLineChars="0"/>
              <w:jc w:val="center"/>
              <w:rPr>
                <w:rFonts w:eastAsia="宋体" w:cs="Times New Roman"/>
                <w:bCs/>
                <w:color w:val="000000"/>
                <w:kern w:val="0"/>
                <w:sz w:val="21"/>
                <w:szCs w:val="21"/>
              </w:rPr>
            </w:pPr>
            <w:r>
              <w:rPr>
                <w:rFonts w:eastAsia="宋体" w:cs="Times New Roman"/>
                <w:bCs/>
                <w:color w:val="000000"/>
                <w:kern w:val="0"/>
                <w:sz w:val="21"/>
                <w:szCs w:val="21"/>
              </w:rPr>
              <w:t>企业二氧化碳排放总量（吨）：</w:t>
            </w:r>
          </w:p>
        </w:tc>
        <w:tc>
          <w:tcPr>
            <w:tcW w:w="863" w:type="pct"/>
            <w:tcBorders>
              <w:top w:val="single" w:color="auto" w:sz="6" w:space="0"/>
              <w:bottom w:val="single" w:color="auto" w:sz="12" w:space="0"/>
            </w:tcBorders>
            <w:shd w:val="clear" w:color="auto" w:fill="auto"/>
            <w:noWrap/>
            <w:vAlign w:val="center"/>
          </w:tcPr>
          <w:p>
            <w:pPr>
              <w:widowControl/>
              <w:snapToGrid w:val="0"/>
              <w:spacing w:line="240" w:lineRule="auto"/>
              <w:ind w:firstLine="0" w:firstLineChars="0"/>
              <w:jc w:val="center"/>
              <w:rPr>
                <w:rFonts w:eastAsia="宋体" w:cs="Times New Roman"/>
                <w:color w:val="000000"/>
                <w:kern w:val="0"/>
                <w:sz w:val="21"/>
                <w:szCs w:val="21"/>
              </w:rPr>
            </w:pPr>
            <w:r>
              <w:rPr>
                <w:rFonts w:eastAsia="宋体" w:cs="Times New Roman"/>
                <w:bCs/>
                <w:color w:val="000000"/>
                <w:kern w:val="0"/>
                <w:sz w:val="21"/>
                <w:szCs w:val="21"/>
              </w:rPr>
              <w:t>2200</w:t>
            </w:r>
            <w:r>
              <w:rPr>
                <w:rFonts w:hint="eastAsia" w:eastAsia="宋体" w:cs="Times New Roman"/>
                <w:bCs/>
                <w:color w:val="000000"/>
                <w:kern w:val="0"/>
                <w:sz w:val="21"/>
                <w:szCs w:val="21"/>
              </w:rPr>
              <w:t>79.8676</w:t>
            </w:r>
          </w:p>
        </w:tc>
      </w:tr>
    </w:tbl>
    <w:p>
      <w:pPr>
        <w:ind w:firstLine="0" w:firstLineChars="0"/>
        <w:rPr>
          <w:rFonts w:cs="Times New Roman"/>
        </w:rPr>
      </w:pPr>
    </w:p>
    <w:p>
      <w:pPr>
        <w:ind w:firstLine="480"/>
        <w:rPr>
          <w:rFonts w:cs="Times New Roman"/>
        </w:rPr>
        <w:sectPr>
          <w:pgSz w:w="11906" w:h="16838"/>
          <w:pgMar w:top="1440" w:right="1797" w:bottom="1440" w:left="1797" w:header="851" w:footer="992" w:gutter="0"/>
          <w:cols w:space="425" w:num="1"/>
          <w:docGrid w:type="lines" w:linePitch="312" w:charSpace="0"/>
        </w:sectPr>
      </w:pPr>
    </w:p>
    <w:p>
      <w:pPr>
        <w:pStyle w:val="2"/>
        <w:spacing w:after="0"/>
        <w:rPr>
          <w:rFonts w:cs="Times New Roman"/>
          <w:sz w:val="30"/>
          <w:szCs w:val="30"/>
        </w:rPr>
      </w:pPr>
      <w:bookmarkStart w:id="117" w:name="_Toc94185494"/>
      <w:bookmarkStart w:id="118" w:name="_Toc97540967"/>
      <w:bookmarkStart w:id="119" w:name="_Toc127266659"/>
      <w:r>
        <w:rPr>
          <w:rFonts w:cs="Times New Roman"/>
          <w:sz w:val="30"/>
          <w:szCs w:val="30"/>
        </w:rPr>
        <w:t>7 强制性清洁生产审核信息</w:t>
      </w:r>
      <w:bookmarkEnd w:id="117"/>
      <w:bookmarkEnd w:id="118"/>
      <w:bookmarkEnd w:id="119"/>
    </w:p>
    <w:p>
      <w:pPr>
        <w:ind w:firstLine="480"/>
        <w:rPr>
          <w:rFonts w:cs="Times New Roman"/>
          <w:snapToGrid w:val="0"/>
          <w:kern w:val="0"/>
        </w:rPr>
      </w:pPr>
      <w:r>
        <w:rPr>
          <w:rFonts w:cs="Times New Roman"/>
          <w:snapToGrid w:val="0"/>
          <w:kern w:val="0"/>
        </w:rPr>
        <w:t>根据《中华人民共和国清洁生产促进法》及《清洁生产审核暂行办法》等法规要求，</w:t>
      </w:r>
      <w:r>
        <w:rPr>
          <w:rFonts w:hint="eastAsia" w:cs="Times New Roman"/>
          <w:snapToGrid w:val="0"/>
          <w:kern w:val="0"/>
        </w:rPr>
        <w:t>曙光金铜矿在生产中排放有毒有害物质的企业需要开展</w:t>
      </w:r>
      <w:r>
        <w:rPr>
          <w:rFonts w:cs="Times New Roman"/>
          <w:snapToGrid w:val="0"/>
          <w:kern w:val="0"/>
        </w:rPr>
        <w:t>强制性清洁生产</w:t>
      </w:r>
      <w:r>
        <w:rPr>
          <w:rFonts w:hint="eastAsia" w:cs="Times New Roman"/>
          <w:snapToGrid w:val="0"/>
          <w:kern w:val="0"/>
        </w:rPr>
        <w:t>审核</w:t>
      </w:r>
      <w:r>
        <w:rPr>
          <w:rFonts w:cs="Times New Roman"/>
          <w:snapToGrid w:val="0"/>
          <w:kern w:val="0"/>
        </w:rPr>
        <w:t>。</w:t>
      </w:r>
      <w:r>
        <w:rPr>
          <w:rFonts w:hint="eastAsia" w:cs="Times New Roman"/>
          <w:snapToGrid w:val="0"/>
          <w:kern w:val="0"/>
        </w:rPr>
        <w:t>经吉林省生态环境厅确认，珲春紫金矿业有限公司（曙光金铜矿母公司）在该省公布的清洁生产审核重点企业名单内。</w:t>
      </w:r>
    </w:p>
    <w:p>
      <w:pPr>
        <w:ind w:firstLine="480"/>
        <w:rPr>
          <w:rFonts w:cs="Times New Roman"/>
        </w:rPr>
      </w:pPr>
      <w:r>
        <w:rPr>
          <w:rFonts w:hint="eastAsia" w:cs="Times New Roman"/>
          <w:snapToGrid w:val="0"/>
          <w:kern w:val="0"/>
        </w:rPr>
        <w:t>珲春紫金矿业有限公司</w:t>
      </w:r>
      <w:r>
        <w:rPr>
          <w:rFonts w:hint="eastAsia"/>
        </w:rPr>
        <w:t>2</w:t>
      </w:r>
      <w:r>
        <w:t>019</w:t>
      </w:r>
      <w:r>
        <w:rPr>
          <w:rFonts w:hint="eastAsia"/>
        </w:rPr>
        <w:t>年~2021年开展了</w:t>
      </w:r>
      <w:r>
        <w:t>第</w:t>
      </w:r>
      <w:r>
        <w:rPr>
          <w:rFonts w:hint="eastAsia"/>
        </w:rPr>
        <w:t>五</w:t>
      </w:r>
      <w:r>
        <w:t>轮清洁生产审核</w:t>
      </w:r>
      <w:r>
        <w:rPr>
          <w:rFonts w:hint="eastAsia"/>
        </w:rPr>
        <w:t>工作，</w:t>
      </w:r>
      <w:r>
        <w:rPr>
          <w:rFonts w:cs="Times New Roman"/>
        </w:rPr>
        <w:t>清洁生产审核</w:t>
      </w:r>
      <w:r>
        <w:rPr>
          <w:rFonts w:hint="eastAsia" w:cs="Times New Roman"/>
        </w:rPr>
        <w:t>验收</w:t>
      </w:r>
      <w:r>
        <w:rPr>
          <w:rFonts w:cs="Times New Roman"/>
        </w:rPr>
        <w:t>报告通</w:t>
      </w:r>
      <w:r>
        <w:rPr>
          <w:rFonts w:hint="eastAsia" w:cs="Times New Roman"/>
        </w:rPr>
        <w:t>过吉林省环境科学研究院</w:t>
      </w:r>
      <w:r>
        <w:rPr>
          <w:rFonts w:cs="Times New Roman"/>
        </w:rPr>
        <w:t>组织的</w:t>
      </w:r>
      <w:r>
        <w:rPr>
          <w:rFonts w:hint="eastAsia" w:cs="Times New Roman"/>
        </w:rPr>
        <w:t>技术评估</w:t>
      </w:r>
      <w:r>
        <w:rPr>
          <w:rFonts w:cs="Times New Roman"/>
        </w:rPr>
        <w:t>；2021年12月</w:t>
      </w:r>
      <w:r>
        <w:rPr>
          <w:rFonts w:hint="eastAsia" w:cs="Times New Roman"/>
        </w:rPr>
        <w:t>8</w:t>
      </w:r>
      <w:r>
        <w:rPr>
          <w:rFonts w:cs="Times New Roman"/>
        </w:rPr>
        <w:t>日</w:t>
      </w:r>
      <w:r>
        <w:rPr>
          <w:rFonts w:hint="eastAsia" w:cs="Times New Roman"/>
        </w:rPr>
        <w:t>进入吉林省生态环境厅2021年第四批完成清洁生产审核评估与验收企业名单</w:t>
      </w:r>
      <w:r>
        <w:rPr>
          <w:rFonts w:cs="Times New Roman"/>
        </w:rPr>
        <w:t>（</w:t>
      </w:r>
      <w:r>
        <w:rPr>
          <w:rFonts w:hint="eastAsia" w:cs="Times New Roman"/>
        </w:rPr>
        <w:t>吉环科财字</w:t>
      </w:r>
      <w:r>
        <w:rPr>
          <w:rFonts w:cs="Times New Roman"/>
        </w:rPr>
        <w:t>[2021]</w:t>
      </w:r>
      <w:r>
        <w:rPr>
          <w:rFonts w:hint="eastAsia" w:cs="Times New Roman"/>
        </w:rPr>
        <w:t>18</w:t>
      </w:r>
      <w:r>
        <w:rPr>
          <w:rFonts w:cs="Times New Roman"/>
        </w:rPr>
        <w:t>号）。</w:t>
      </w:r>
    </w:p>
    <w:p>
      <w:pPr>
        <w:ind w:firstLine="480"/>
        <w:rPr>
          <w:snapToGrid w:val="0"/>
          <w:kern w:val="0"/>
        </w:rPr>
      </w:pPr>
      <w:r>
        <w:rPr>
          <w:rFonts w:hint="eastAsia" w:cs="Times New Roman"/>
          <w:snapToGrid w:val="0"/>
          <w:kern w:val="0"/>
        </w:rPr>
        <w:t>珲春紫金矿业有限公司</w:t>
      </w:r>
      <w:r>
        <w:rPr>
          <w:rFonts w:hint="eastAsia"/>
          <w:snapToGrid w:val="0"/>
          <w:kern w:val="0"/>
        </w:rPr>
        <w:t>未列入吉林省生态环境厅发布的《2022年清洁生产审核重点企业名单》（吉环科财字[2022]5号）。</w:t>
      </w:r>
    </w:p>
    <w:p>
      <w:pPr>
        <w:ind w:firstLine="480"/>
        <w:rPr>
          <w:rFonts w:cs="Times New Roman"/>
          <w:snapToGrid w:val="0"/>
          <w:kern w:val="0"/>
        </w:rPr>
      </w:pPr>
    </w:p>
    <w:p>
      <w:pPr>
        <w:ind w:firstLine="480"/>
        <w:rPr>
          <w:rFonts w:cs="Times New Roman"/>
        </w:rPr>
        <w:sectPr>
          <w:pgSz w:w="11906" w:h="16838"/>
          <w:pgMar w:top="1440" w:right="1797" w:bottom="1440" w:left="1797" w:header="851" w:footer="992" w:gutter="0"/>
          <w:cols w:space="425" w:num="1"/>
          <w:docGrid w:type="lines" w:linePitch="312" w:charSpace="0"/>
        </w:sectPr>
      </w:pPr>
    </w:p>
    <w:p>
      <w:pPr>
        <w:pStyle w:val="2"/>
        <w:spacing w:after="0"/>
        <w:rPr>
          <w:rFonts w:cs="Times New Roman"/>
          <w:sz w:val="30"/>
          <w:szCs w:val="30"/>
        </w:rPr>
      </w:pPr>
      <w:bookmarkStart w:id="120" w:name="_Toc97540968"/>
      <w:bookmarkStart w:id="121" w:name="_Toc94185495"/>
      <w:bookmarkStart w:id="122" w:name="_Toc127266660"/>
      <w:r>
        <w:rPr>
          <w:rFonts w:cs="Times New Roman"/>
          <w:sz w:val="30"/>
          <w:szCs w:val="30"/>
        </w:rPr>
        <w:t>8 生态环境应急信息</w:t>
      </w:r>
      <w:bookmarkEnd w:id="120"/>
      <w:bookmarkEnd w:id="121"/>
      <w:bookmarkEnd w:id="122"/>
    </w:p>
    <w:p>
      <w:pPr>
        <w:pStyle w:val="3"/>
        <w:rPr>
          <w:rFonts w:cs="Times New Roman"/>
          <w:szCs w:val="28"/>
        </w:rPr>
      </w:pPr>
      <w:bookmarkStart w:id="123" w:name="_Toc94185496"/>
      <w:bookmarkStart w:id="124" w:name="_Toc97540969"/>
      <w:bookmarkStart w:id="125" w:name="_Toc127266661"/>
      <w:r>
        <w:rPr>
          <w:rFonts w:cs="Times New Roman"/>
          <w:szCs w:val="28"/>
        </w:rPr>
        <w:t>8.1突发环境事件应急预案</w:t>
      </w:r>
      <w:bookmarkEnd w:id="123"/>
      <w:bookmarkEnd w:id="124"/>
      <w:bookmarkEnd w:id="125"/>
    </w:p>
    <w:p>
      <w:pPr>
        <w:adjustRightInd w:val="0"/>
        <w:snapToGrid w:val="0"/>
        <w:ind w:firstLine="480"/>
        <w:rPr>
          <w:rFonts w:cs="Times New Roman"/>
          <w:snapToGrid w:val="0"/>
          <w:kern w:val="0"/>
        </w:rPr>
      </w:pPr>
      <w:bookmarkStart w:id="126" w:name="_Toc94185497"/>
      <w:r>
        <w:rPr>
          <w:rFonts w:hint="eastAsia" w:cs="Times New Roman"/>
          <w:snapToGrid w:val="0"/>
          <w:kern w:val="0"/>
        </w:rPr>
        <w:t>2022年，曙光金铜矿重新编制了</w:t>
      </w:r>
      <w:r>
        <w:rPr>
          <w:rFonts w:cs="Times New Roman"/>
          <w:snapToGrid w:val="0"/>
          <w:kern w:val="0"/>
        </w:rPr>
        <w:t>《珲春紫金矿业有限公司曙光金铜矿突发环境事件应急预案》</w:t>
      </w:r>
      <w:r>
        <w:rPr>
          <w:rFonts w:hint="eastAsia" w:cs="Times New Roman"/>
          <w:snapToGrid w:val="0"/>
          <w:kern w:val="0"/>
        </w:rPr>
        <w:t>，并于2022年11月21日取得了延边朝鲜族自治州生态环境局珲春市分局的备案表，</w:t>
      </w:r>
      <w:r>
        <w:rPr>
          <w:rFonts w:cs="Times New Roman"/>
          <w:snapToGrid w:val="0"/>
          <w:kern w:val="0"/>
        </w:rPr>
        <w:t>备案编号为222404-20</w:t>
      </w:r>
      <w:r>
        <w:rPr>
          <w:rFonts w:hint="eastAsia" w:cs="Times New Roman"/>
          <w:snapToGrid w:val="0"/>
          <w:kern w:val="0"/>
        </w:rPr>
        <w:t>22</w:t>
      </w:r>
      <w:r>
        <w:rPr>
          <w:rFonts w:cs="Times New Roman"/>
          <w:snapToGrid w:val="0"/>
          <w:kern w:val="0"/>
        </w:rPr>
        <w:t>-0</w:t>
      </w:r>
      <w:r>
        <w:rPr>
          <w:rFonts w:hint="eastAsia" w:cs="Times New Roman"/>
          <w:snapToGrid w:val="0"/>
          <w:kern w:val="0"/>
        </w:rPr>
        <w:t>30</w:t>
      </w:r>
      <w:r>
        <w:rPr>
          <w:rFonts w:cs="Times New Roman"/>
          <w:snapToGrid w:val="0"/>
          <w:kern w:val="0"/>
        </w:rPr>
        <w:t>-L</w:t>
      </w:r>
      <w:r>
        <w:rPr>
          <w:rFonts w:hint="eastAsia" w:cs="Times New Roman"/>
          <w:snapToGrid w:val="0"/>
          <w:kern w:val="0"/>
        </w:rPr>
        <w:t>。</w:t>
      </w:r>
    </w:p>
    <w:p>
      <w:pPr>
        <w:adjustRightInd w:val="0"/>
        <w:snapToGrid w:val="0"/>
        <w:ind w:firstLine="480"/>
        <w:rPr>
          <w:rFonts w:cs="Times New Roman"/>
          <w:snapToGrid w:val="0"/>
          <w:kern w:val="0"/>
        </w:rPr>
      </w:pPr>
      <w:r>
        <w:rPr>
          <w:rFonts w:hint="eastAsia" w:cs="Times New Roman"/>
          <w:snapToGrid w:val="0"/>
          <w:kern w:val="0"/>
        </w:rPr>
        <w:t>同年7月，曙光金铜矿完成</w:t>
      </w:r>
      <w:r>
        <w:rPr>
          <w:rFonts w:cs="Times New Roman"/>
          <w:snapToGrid w:val="0"/>
          <w:kern w:val="0"/>
        </w:rPr>
        <w:t>《珲春紫金矿业有限公司曙光金铜矿2期尾矿库突发环境事件应急预案》</w:t>
      </w:r>
      <w:r>
        <w:rPr>
          <w:rFonts w:hint="eastAsia" w:cs="Times New Roman"/>
          <w:snapToGrid w:val="0"/>
          <w:kern w:val="0"/>
        </w:rPr>
        <w:t>和</w:t>
      </w:r>
      <w:r>
        <w:rPr>
          <w:rFonts w:cs="Times New Roman"/>
          <w:snapToGrid w:val="0"/>
          <w:kern w:val="0"/>
        </w:rPr>
        <w:t>《珲春紫金矿业有限公司曙光金铜矿3期尾矿库突发环境事件应急预案》</w:t>
      </w:r>
      <w:r>
        <w:rPr>
          <w:rFonts w:hint="eastAsia" w:cs="Times New Roman"/>
          <w:snapToGrid w:val="0"/>
          <w:kern w:val="0"/>
        </w:rPr>
        <w:t>两个尾矿库专项预案的编制和备案</w:t>
      </w:r>
      <w:r>
        <w:rPr>
          <w:rFonts w:cs="Times New Roman"/>
          <w:snapToGrid w:val="0"/>
          <w:kern w:val="0"/>
        </w:rPr>
        <w:t>，备案编号</w:t>
      </w:r>
      <w:r>
        <w:rPr>
          <w:rFonts w:hint="eastAsia" w:cs="Times New Roman"/>
          <w:snapToGrid w:val="0"/>
          <w:kern w:val="0"/>
        </w:rPr>
        <w:t>分别</w:t>
      </w:r>
      <w:r>
        <w:rPr>
          <w:rFonts w:cs="Times New Roman"/>
          <w:snapToGrid w:val="0"/>
          <w:kern w:val="0"/>
        </w:rPr>
        <w:t>为222404-20</w:t>
      </w:r>
      <w:r>
        <w:rPr>
          <w:rFonts w:hint="eastAsia" w:cs="Times New Roman"/>
          <w:snapToGrid w:val="0"/>
          <w:kern w:val="0"/>
        </w:rPr>
        <w:t>22</w:t>
      </w:r>
      <w:r>
        <w:rPr>
          <w:rFonts w:cs="Times New Roman"/>
          <w:snapToGrid w:val="0"/>
          <w:kern w:val="0"/>
        </w:rPr>
        <w:t>-00</w:t>
      </w:r>
      <w:r>
        <w:rPr>
          <w:rFonts w:hint="eastAsia" w:cs="Times New Roman"/>
          <w:snapToGrid w:val="0"/>
          <w:kern w:val="0"/>
        </w:rPr>
        <w:t>5</w:t>
      </w:r>
      <w:r>
        <w:rPr>
          <w:rFonts w:cs="Times New Roman"/>
          <w:snapToGrid w:val="0"/>
          <w:kern w:val="0"/>
        </w:rPr>
        <w:t>-M</w:t>
      </w:r>
      <w:r>
        <w:rPr>
          <w:rFonts w:hint="eastAsia" w:cs="Times New Roman"/>
          <w:snapToGrid w:val="0"/>
          <w:kern w:val="0"/>
        </w:rPr>
        <w:t>和</w:t>
      </w:r>
      <w:r>
        <w:rPr>
          <w:rFonts w:cs="Times New Roman"/>
          <w:snapToGrid w:val="0"/>
          <w:kern w:val="0"/>
        </w:rPr>
        <w:t>222404-20</w:t>
      </w:r>
      <w:r>
        <w:rPr>
          <w:rFonts w:hint="eastAsia" w:cs="Times New Roman"/>
          <w:snapToGrid w:val="0"/>
          <w:kern w:val="0"/>
        </w:rPr>
        <w:t>22</w:t>
      </w:r>
      <w:r>
        <w:rPr>
          <w:rFonts w:cs="Times New Roman"/>
          <w:snapToGrid w:val="0"/>
          <w:kern w:val="0"/>
        </w:rPr>
        <w:t>-00</w:t>
      </w:r>
      <w:r>
        <w:rPr>
          <w:rFonts w:hint="eastAsia" w:cs="Times New Roman"/>
          <w:snapToGrid w:val="0"/>
          <w:kern w:val="0"/>
        </w:rPr>
        <w:t>6</w:t>
      </w:r>
      <w:r>
        <w:rPr>
          <w:rFonts w:cs="Times New Roman"/>
          <w:snapToGrid w:val="0"/>
          <w:kern w:val="0"/>
        </w:rPr>
        <w:t>-M</w:t>
      </w:r>
      <w:r>
        <w:rPr>
          <w:rFonts w:hint="eastAsia" w:cs="Times New Roman"/>
          <w:snapToGrid w:val="0"/>
          <w:kern w:val="0"/>
        </w:rPr>
        <w:t>。</w:t>
      </w:r>
    </w:p>
    <w:p>
      <w:pPr>
        <w:pStyle w:val="3"/>
        <w:rPr>
          <w:rFonts w:cs="Times New Roman"/>
          <w:szCs w:val="28"/>
        </w:rPr>
      </w:pPr>
      <w:r>
        <w:rPr>
          <w:rFonts w:cs="Times New Roman"/>
          <w:szCs w:val="28"/>
        </w:rPr>
        <w:t xml:space="preserve"> </w:t>
      </w:r>
      <w:bookmarkStart w:id="127" w:name="_Toc127266662"/>
      <w:bookmarkStart w:id="128" w:name="_Toc97540970"/>
      <w:r>
        <w:rPr>
          <w:rFonts w:cs="Times New Roman"/>
          <w:szCs w:val="28"/>
        </w:rPr>
        <w:t>8.2 现有生态环境应急资源</w:t>
      </w:r>
      <w:bookmarkEnd w:id="126"/>
      <w:bookmarkEnd w:id="127"/>
      <w:bookmarkEnd w:id="128"/>
    </w:p>
    <w:p>
      <w:pPr>
        <w:adjustRightInd w:val="0"/>
        <w:snapToGrid w:val="0"/>
        <w:ind w:firstLine="480"/>
        <w:rPr>
          <w:rFonts w:ascii="Arial Narrow" w:hAnsi="Arial Narrow" w:cs="Arial Narrow"/>
          <w:szCs w:val="24"/>
        </w:rPr>
      </w:pPr>
      <w:r>
        <w:rPr>
          <w:rFonts w:cs="Times New Roman"/>
          <w:snapToGrid w:val="0"/>
          <w:kern w:val="0"/>
        </w:rPr>
        <w:t>根据《</w:t>
      </w:r>
      <w:r>
        <w:rPr>
          <w:rFonts w:hint="eastAsia" w:cs="Times New Roman"/>
          <w:snapToGrid w:val="0"/>
          <w:kern w:val="0"/>
        </w:rPr>
        <w:t>珲春紫金矿业有限公司曙光金铜矿</w:t>
      </w:r>
      <w:r>
        <w:rPr>
          <w:rFonts w:cs="Times New Roman"/>
          <w:snapToGrid w:val="0"/>
          <w:kern w:val="0"/>
        </w:rPr>
        <w:t>环境应急资源调查报告》，</w:t>
      </w:r>
      <w:r>
        <w:rPr>
          <w:rFonts w:hint="eastAsia" w:cs="Times New Roman"/>
          <w:snapToGrid w:val="0"/>
          <w:kern w:val="0"/>
        </w:rPr>
        <w:t>曙光金铜矿设</w:t>
      </w:r>
      <w:r>
        <w:rPr>
          <w:rFonts w:ascii="Arial Narrow" w:hAnsi="Arial Narrow" w:cs="Arial Narrow"/>
          <w:szCs w:val="24"/>
        </w:rPr>
        <w:t>置应急物资、装备存储库房，储备防护用具、警报器、漂白粉等应急物资，选矿厂仓库还储存大量劳保用品、个体防护装备</w:t>
      </w:r>
      <w:r>
        <w:rPr>
          <w:rFonts w:hint="eastAsia" w:ascii="Arial Narrow" w:hAnsi="Arial Narrow" w:cs="Arial Narrow"/>
          <w:szCs w:val="24"/>
        </w:rPr>
        <w:t>。</w:t>
      </w:r>
    </w:p>
    <w:p>
      <w:pPr>
        <w:adjustRightInd w:val="0"/>
        <w:snapToGrid w:val="0"/>
        <w:ind w:firstLine="480"/>
        <w:rPr>
          <w:rFonts w:cs="Times New Roman"/>
          <w:snapToGrid w:val="0"/>
          <w:kern w:val="0"/>
        </w:rPr>
      </w:pPr>
      <w:r>
        <w:rPr>
          <w:rFonts w:cs="Times New Roman"/>
          <w:snapToGrid w:val="0"/>
          <w:kern w:val="0"/>
        </w:rPr>
        <w:t>其现有环境风险防控与应急措施详见表</w:t>
      </w:r>
      <w:r>
        <w:rPr>
          <w:rFonts w:hint="eastAsia" w:cs="Times New Roman"/>
          <w:snapToGrid w:val="0"/>
          <w:kern w:val="0"/>
        </w:rPr>
        <w:t>8.2-1。</w:t>
      </w:r>
    </w:p>
    <w:p>
      <w:pPr>
        <w:ind w:firstLine="0" w:firstLineChars="0"/>
        <w:jc w:val="center"/>
        <w:rPr>
          <w:rFonts w:eastAsia="黑体" w:cs="Times New Roman"/>
        </w:rPr>
      </w:pPr>
      <w:r>
        <w:rPr>
          <w:rFonts w:eastAsia="黑体" w:cs="Times New Roman"/>
        </w:rPr>
        <w:t>表</w:t>
      </w:r>
      <w:r>
        <w:rPr>
          <w:rFonts w:hint="eastAsia" w:eastAsia="黑体" w:cs="Times New Roman"/>
        </w:rPr>
        <w:t>8.2-1</w:t>
      </w:r>
      <w:r>
        <w:rPr>
          <w:rFonts w:eastAsia="黑体" w:cs="Times New Roman"/>
        </w:rPr>
        <w:t xml:space="preserve">  现有应急物资、装备一览表</w:t>
      </w:r>
    </w:p>
    <w:tbl>
      <w:tblPr>
        <w:tblStyle w:val="43"/>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7"/>
        <w:gridCol w:w="2410"/>
        <w:gridCol w:w="1276"/>
        <w:gridCol w:w="2693"/>
        <w:gridCol w:w="13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7"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类别</w:t>
            </w:r>
          </w:p>
        </w:tc>
        <w:tc>
          <w:tcPr>
            <w:tcW w:w="2410"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名称</w:t>
            </w:r>
          </w:p>
        </w:tc>
        <w:tc>
          <w:tcPr>
            <w:tcW w:w="1276"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数量</w:t>
            </w:r>
          </w:p>
        </w:tc>
        <w:tc>
          <w:tcPr>
            <w:tcW w:w="2693" w:type="dxa"/>
            <w:vAlign w:val="center"/>
          </w:tcPr>
          <w:p>
            <w:pPr>
              <w:adjustRightInd w:val="0"/>
              <w:snapToGrid w:val="0"/>
              <w:spacing w:line="240" w:lineRule="auto"/>
              <w:ind w:firstLine="0" w:firstLineChars="0"/>
              <w:jc w:val="center"/>
              <w:rPr>
                <w:rFonts w:eastAsia="宋体" w:cs="Times New Roman"/>
                <w:sz w:val="21"/>
                <w:szCs w:val="21"/>
                <w:lang w:val="zh-CN"/>
              </w:rPr>
            </w:pPr>
            <w:r>
              <w:rPr>
                <w:rFonts w:hint="eastAsia" w:eastAsia="宋体" w:cs="Times New Roman"/>
                <w:sz w:val="21"/>
                <w:szCs w:val="21"/>
                <w:lang w:val="zh-CN"/>
              </w:rPr>
              <w:t>所在位置</w:t>
            </w:r>
          </w:p>
        </w:tc>
        <w:tc>
          <w:tcPr>
            <w:tcW w:w="1332" w:type="dxa"/>
            <w:vAlign w:val="center"/>
          </w:tcPr>
          <w:p>
            <w:pPr>
              <w:adjustRightInd w:val="0"/>
              <w:snapToGrid w:val="0"/>
              <w:spacing w:line="240" w:lineRule="auto"/>
              <w:ind w:firstLine="0" w:firstLineChars="0"/>
              <w:jc w:val="center"/>
              <w:rPr>
                <w:rFonts w:eastAsia="宋体" w:cs="Times New Roman"/>
                <w:sz w:val="21"/>
                <w:szCs w:val="21"/>
                <w:lang w:val="zh-CN"/>
              </w:rPr>
            </w:pPr>
            <w:r>
              <w:rPr>
                <w:rFonts w:hint="eastAsia" w:eastAsia="宋体" w:cs="Times New Roman"/>
                <w:sz w:val="21"/>
                <w:szCs w:val="21"/>
                <w:lang w:val="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7" w:type="dxa"/>
            <w:vMerge w:val="restart"/>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机械、车辆</w:t>
            </w:r>
          </w:p>
        </w:tc>
        <w:tc>
          <w:tcPr>
            <w:tcW w:w="2410"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消防车（自带消防水带）</w:t>
            </w:r>
          </w:p>
        </w:tc>
        <w:tc>
          <w:tcPr>
            <w:tcW w:w="1276"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2辆</w:t>
            </w:r>
          </w:p>
        </w:tc>
        <w:tc>
          <w:tcPr>
            <w:tcW w:w="2693"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总调度室、采矿一队</w:t>
            </w:r>
          </w:p>
        </w:tc>
        <w:tc>
          <w:tcPr>
            <w:tcW w:w="1332" w:type="dxa"/>
            <w:vAlign w:val="center"/>
          </w:tcPr>
          <w:p>
            <w:pPr>
              <w:adjustRightInd w:val="0"/>
              <w:snapToGrid w:val="0"/>
              <w:spacing w:line="240" w:lineRule="auto"/>
              <w:ind w:firstLine="0" w:firstLineChars="0"/>
              <w:jc w:val="center"/>
              <w:rPr>
                <w:rFonts w:eastAsia="宋体" w:cs="Times New Roman"/>
                <w:sz w:val="21"/>
                <w:szCs w:val="21"/>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7" w:type="dxa"/>
            <w:vMerge w:val="continue"/>
            <w:vAlign w:val="center"/>
          </w:tcPr>
          <w:p>
            <w:pPr>
              <w:adjustRightInd w:val="0"/>
              <w:snapToGrid w:val="0"/>
              <w:spacing w:line="240" w:lineRule="auto"/>
              <w:ind w:firstLine="0" w:firstLineChars="0"/>
              <w:jc w:val="center"/>
              <w:rPr>
                <w:rFonts w:eastAsia="宋体" w:cs="Times New Roman"/>
                <w:sz w:val="21"/>
                <w:szCs w:val="21"/>
                <w:lang w:val="zh-CN"/>
              </w:rPr>
            </w:pPr>
          </w:p>
        </w:tc>
        <w:tc>
          <w:tcPr>
            <w:tcW w:w="2410"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运输工程车辆</w:t>
            </w:r>
          </w:p>
        </w:tc>
        <w:tc>
          <w:tcPr>
            <w:tcW w:w="1276"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30辆</w:t>
            </w:r>
          </w:p>
        </w:tc>
        <w:tc>
          <w:tcPr>
            <w:tcW w:w="2693"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总调度室、采矿一队</w:t>
            </w:r>
          </w:p>
        </w:tc>
        <w:tc>
          <w:tcPr>
            <w:tcW w:w="1332" w:type="dxa"/>
            <w:vAlign w:val="center"/>
          </w:tcPr>
          <w:p>
            <w:pPr>
              <w:adjustRightInd w:val="0"/>
              <w:snapToGrid w:val="0"/>
              <w:spacing w:line="240" w:lineRule="auto"/>
              <w:ind w:firstLine="0" w:firstLineChars="0"/>
              <w:jc w:val="center"/>
              <w:rPr>
                <w:rFonts w:eastAsia="宋体" w:cs="Times New Roman"/>
                <w:sz w:val="21"/>
                <w:szCs w:val="21"/>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7" w:type="dxa"/>
            <w:vMerge w:val="continue"/>
            <w:vAlign w:val="center"/>
          </w:tcPr>
          <w:p>
            <w:pPr>
              <w:adjustRightInd w:val="0"/>
              <w:snapToGrid w:val="0"/>
              <w:spacing w:line="240" w:lineRule="auto"/>
              <w:ind w:firstLine="0" w:firstLineChars="0"/>
              <w:jc w:val="center"/>
              <w:rPr>
                <w:rFonts w:eastAsia="宋体" w:cs="Times New Roman"/>
                <w:sz w:val="21"/>
                <w:szCs w:val="21"/>
                <w:lang w:val="zh-CN"/>
              </w:rPr>
            </w:pPr>
          </w:p>
        </w:tc>
        <w:tc>
          <w:tcPr>
            <w:tcW w:w="2410"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小型车辆</w:t>
            </w:r>
          </w:p>
        </w:tc>
        <w:tc>
          <w:tcPr>
            <w:tcW w:w="1276"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8辆</w:t>
            </w:r>
          </w:p>
        </w:tc>
        <w:tc>
          <w:tcPr>
            <w:tcW w:w="2693"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总调度室</w:t>
            </w:r>
          </w:p>
        </w:tc>
        <w:tc>
          <w:tcPr>
            <w:tcW w:w="1332" w:type="dxa"/>
            <w:vAlign w:val="center"/>
          </w:tcPr>
          <w:p>
            <w:pPr>
              <w:adjustRightInd w:val="0"/>
              <w:snapToGrid w:val="0"/>
              <w:spacing w:line="240" w:lineRule="auto"/>
              <w:ind w:firstLine="0" w:firstLineChars="0"/>
              <w:jc w:val="center"/>
              <w:rPr>
                <w:rFonts w:eastAsia="宋体" w:cs="Times New Roman"/>
                <w:sz w:val="21"/>
                <w:szCs w:val="21"/>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7" w:type="dxa"/>
            <w:vMerge w:val="continue"/>
            <w:vAlign w:val="center"/>
          </w:tcPr>
          <w:p>
            <w:pPr>
              <w:adjustRightInd w:val="0"/>
              <w:snapToGrid w:val="0"/>
              <w:spacing w:line="240" w:lineRule="auto"/>
              <w:ind w:firstLine="0" w:firstLineChars="0"/>
              <w:jc w:val="center"/>
              <w:rPr>
                <w:rFonts w:eastAsia="宋体" w:cs="Times New Roman"/>
                <w:sz w:val="21"/>
                <w:szCs w:val="21"/>
                <w:lang w:val="zh-CN"/>
              </w:rPr>
            </w:pPr>
          </w:p>
        </w:tc>
        <w:tc>
          <w:tcPr>
            <w:tcW w:w="2410"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自用救护车</w:t>
            </w:r>
          </w:p>
        </w:tc>
        <w:tc>
          <w:tcPr>
            <w:tcW w:w="1276"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1辆</w:t>
            </w:r>
          </w:p>
        </w:tc>
        <w:tc>
          <w:tcPr>
            <w:tcW w:w="2693"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总调度室</w:t>
            </w:r>
          </w:p>
        </w:tc>
        <w:tc>
          <w:tcPr>
            <w:tcW w:w="1332" w:type="dxa"/>
            <w:vAlign w:val="center"/>
          </w:tcPr>
          <w:p>
            <w:pPr>
              <w:adjustRightInd w:val="0"/>
              <w:snapToGrid w:val="0"/>
              <w:spacing w:line="240" w:lineRule="auto"/>
              <w:ind w:firstLine="0" w:firstLineChars="0"/>
              <w:jc w:val="center"/>
              <w:rPr>
                <w:rFonts w:eastAsia="宋体" w:cs="Times New Roman"/>
                <w:sz w:val="21"/>
                <w:szCs w:val="21"/>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7" w:type="dxa"/>
            <w:vMerge w:val="continue"/>
            <w:vAlign w:val="center"/>
          </w:tcPr>
          <w:p>
            <w:pPr>
              <w:adjustRightInd w:val="0"/>
              <w:snapToGrid w:val="0"/>
              <w:spacing w:line="240" w:lineRule="auto"/>
              <w:ind w:firstLine="0" w:firstLineChars="0"/>
              <w:jc w:val="center"/>
              <w:rPr>
                <w:rFonts w:eastAsia="宋体" w:cs="Times New Roman"/>
                <w:sz w:val="21"/>
                <w:szCs w:val="21"/>
                <w:lang w:val="zh-CN"/>
              </w:rPr>
            </w:pPr>
          </w:p>
        </w:tc>
        <w:tc>
          <w:tcPr>
            <w:tcW w:w="2410"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挖掘机</w:t>
            </w:r>
          </w:p>
        </w:tc>
        <w:tc>
          <w:tcPr>
            <w:tcW w:w="1276"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7台</w:t>
            </w:r>
          </w:p>
        </w:tc>
        <w:tc>
          <w:tcPr>
            <w:tcW w:w="2693"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总调度室、采矿一队</w:t>
            </w:r>
          </w:p>
        </w:tc>
        <w:tc>
          <w:tcPr>
            <w:tcW w:w="1332" w:type="dxa"/>
            <w:vAlign w:val="center"/>
          </w:tcPr>
          <w:p>
            <w:pPr>
              <w:adjustRightInd w:val="0"/>
              <w:snapToGrid w:val="0"/>
              <w:spacing w:line="240" w:lineRule="auto"/>
              <w:ind w:firstLine="0" w:firstLineChars="0"/>
              <w:jc w:val="center"/>
              <w:rPr>
                <w:rFonts w:eastAsia="宋体" w:cs="Times New Roman"/>
                <w:sz w:val="21"/>
                <w:szCs w:val="21"/>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7" w:type="dxa"/>
            <w:vMerge w:val="continue"/>
            <w:vAlign w:val="center"/>
          </w:tcPr>
          <w:p>
            <w:pPr>
              <w:adjustRightInd w:val="0"/>
              <w:snapToGrid w:val="0"/>
              <w:spacing w:line="240" w:lineRule="auto"/>
              <w:ind w:firstLine="0" w:firstLineChars="0"/>
              <w:jc w:val="center"/>
              <w:rPr>
                <w:rFonts w:eastAsia="宋体" w:cs="Times New Roman"/>
                <w:sz w:val="21"/>
                <w:szCs w:val="21"/>
                <w:lang w:val="zh-CN"/>
              </w:rPr>
            </w:pPr>
          </w:p>
        </w:tc>
        <w:tc>
          <w:tcPr>
            <w:tcW w:w="2410"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装载机</w:t>
            </w:r>
          </w:p>
        </w:tc>
        <w:tc>
          <w:tcPr>
            <w:tcW w:w="1276"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5台</w:t>
            </w:r>
          </w:p>
        </w:tc>
        <w:tc>
          <w:tcPr>
            <w:tcW w:w="2693"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总调度室、采矿一队</w:t>
            </w:r>
          </w:p>
        </w:tc>
        <w:tc>
          <w:tcPr>
            <w:tcW w:w="1332" w:type="dxa"/>
            <w:vAlign w:val="center"/>
          </w:tcPr>
          <w:p>
            <w:pPr>
              <w:adjustRightInd w:val="0"/>
              <w:snapToGrid w:val="0"/>
              <w:spacing w:line="240" w:lineRule="auto"/>
              <w:ind w:firstLine="0" w:firstLineChars="0"/>
              <w:jc w:val="center"/>
              <w:rPr>
                <w:rFonts w:eastAsia="宋体" w:cs="Times New Roman"/>
                <w:sz w:val="21"/>
                <w:szCs w:val="21"/>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7" w:type="dxa"/>
            <w:vMerge w:val="restart"/>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物资、设备</w:t>
            </w:r>
          </w:p>
        </w:tc>
        <w:tc>
          <w:tcPr>
            <w:tcW w:w="2410"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潜水泵</w:t>
            </w:r>
          </w:p>
        </w:tc>
        <w:tc>
          <w:tcPr>
            <w:tcW w:w="1276"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3台</w:t>
            </w:r>
          </w:p>
        </w:tc>
        <w:tc>
          <w:tcPr>
            <w:tcW w:w="2693" w:type="dxa"/>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动力保障处</w:t>
            </w:r>
          </w:p>
        </w:tc>
        <w:tc>
          <w:tcPr>
            <w:tcW w:w="1332" w:type="dxa"/>
            <w:vAlign w:val="center"/>
          </w:tcPr>
          <w:p>
            <w:pPr>
              <w:adjustRightInd w:val="0"/>
              <w:snapToGrid w:val="0"/>
              <w:spacing w:line="240" w:lineRule="auto"/>
              <w:ind w:firstLine="0" w:firstLineChars="0"/>
              <w:jc w:val="center"/>
              <w:rPr>
                <w:rFonts w:eastAsia="宋体" w:cs="Times New Roman"/>
                <w:sz w:val="21"/>
                <w:szCs w:val="21"/>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7" w:type="dxa"/>
            <w:vMerge w:val="continue"/>
            <w:vAlign w:val="center"/>
          </w:tcPr>
          <w:p>
            <w:pPr>
              <w:adjustRightInd w:val="0"/>
              <w:snapToGrid w:val="0"/>
              <w:spacing w:line="240" w:lineRule="auto"/>
              <w:ind w:firstLine="0" w:firstLineChars="0"/>
              <w:jc w:val="center"/>
              <w:rPr>
                <w:rFonts w:eastAsia="宋体" w:cs="Times New Roman"/>
                <w:sz w:val="21"/>
                <w:szCs w:val="21"/>
                <w:lang w:val="zh-CN"/>
              </w:rPr>
            </w:pPr>
          </w:p>
        </w:tc>
        <w:tc>
          <w:tcPr>
            <w:tcW w:w="2410"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电缆线</w:t>
            </w:r>
          </w:p>
        </w:tc>
        <w:tc>
          <w:tcPr>
            <w:tcW w:w="1276"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600m</w:t>
            </w:r>
          </w:p>
        </w:tc>
        <w:tc>
          <w:tcPr>
            <w:tcW w:w="2693"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rPr>
              <w:t>动力保障处</w:t>
            </w:r>
          </w:p>
        </w:tc>
        <w:tc>
          <w:tcPr>
            <w:tcW w:w="1332" w:type="dxa"/>
            <w:vAlign w:val="center"/>
          </w:tcPr>
          <w:p>
            <w:pPr>
              <w:adjustRightInd w:val="0"/>
              <w:snapToGrid w:val="0"/>
              <w:spacing w:line="240" w:lineRule="auto"/>
              <w:ind w:firstLine="0" w:firstLineChars="0"/>
              <w:jc w:val="center"/>
              <w:rPr>
                <w:rFonts w:eastAsia="宋体" w:cs="Times New Roman"/>
                <w:sz w:val="21"/>
                <w:szCs w:val="21"/>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7" w:type="dxa"/>
            <w:vMerge w:val="continue"/>
            <w:vAlign w:val="center"/>
          </w:tcPr>
          <w:p>
            <w:pPr>
              <w:adjustRightInd w:val="0"/>
              <w:snapToGrid w:val="0"/>
              <w:spacing w:line="240" w:lineRule="auto"/>
              <w:ind w:firstLine="0" w:firstLineChars="0"/>
              <w:jc w:val="center"/>
              <w:rPr>
                <w:rFonts w:eastAsia="宋体" w:cs="Times New Roman"/>
                <w:sz w:val="21"/>
                <w:szCs w:val="21"/>
                <w:lang w:val="zh-CN"/>
              </w:rPr>
            </w:pPr>
          </w:p>
        </w:tc>
        <w:tc>
          <w:tcPr>
            <w:tcW w:w="2410"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备用大功率发电机</w:t>
            </w:r>
          </w:p>
        </w:tc>
        <w:tc>
          <w:tcPr>
            <w:tcW w:w="1276"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1部</w:t>
            </w:r>
          </w:p>
        </w:tc>
        <w:tc>
          <w:tcPr>
            <w:tcW w:w="2693"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rPr>
              <w:t>动力保障处</w:t>
            </w:r>
          </w:p>
        </w:tc>
        <w:tc>
          <w:tcPr>
            <w:tcW w:w="1332" w:type="dxa"/>
            <w:vAlign w:val="center"/>
          </w:tcPr>
          <w:p>
            <w:pPr>
              <w:adjustRightInd w:val="0"/>
              <w:snapToGrid w:val="0"/>
              <w:spacing w:line="240" w:lineRule="auto"/>
              <w:ind w:firstLine="0" w:firstLineChars="0"/>
              <w:jc w:val="center"/>
              <w:rPr>
                <w:rFonts w:eastAsia="宋体" w:cs="Times New Roman"/>
                <w:sz w:val="21"/>
                <w:szCs w:val="21"/>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7" w:type="dxa"/>
            <w:vMerge w:val="continue"/>
            <w:vAlign w:val="center"/>
          </w:tcPr>
          <w:p>
            <w:pPr>
              <w:adjustRightInd w:val="0"/>
              <w:snapToGrid w:val="0"/>
              <w:spacing w:line="240" w:lineRule="auto"/>
              <w:ind w:firstLine="0" w:firstLineChars="0"/>
              <w:jc w:val="center"/>
              <w:rPr>
                <w:rFonts w:eastAsia="宋体" w:cs="Times New Roman"/>
                <w:sz w:val="21"/>
                <w:szCs w:val="21"/>
                <w:lang w:val="zh-CN"/>
              </w:rPr>
            </w:pPr>
          </w:p>
        </w:tc>
        <w:tc>
          <w:tcPr>
            <w:tcW w:w="2410"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救护用氧气</w:t>
            </w:r>
          </w:p>
        </w:tc>
        <w:tc>
          <w:tcPr>
            <w:tcW w:w="1276"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3瓶</w:t>
            </w:r>
          </w:p>
        </w:tc>
        <w:tc>
          <w:tcPr>
            <w:tcW w:w="2693"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医院</w:t>
            </w:r>
          </w:p>
        </w:tc>
        <w:tc>
          <w:tcPr>
            <w:tcW w:w="1332" w:type="dxa"/>
            <w:vAlign w:val="center"/>
          </w:tcPr>
          <w:p>
            <w:pPr>
              <w:adjustRightInd w:val="0"/>
              <w:snapToGrid w:val="0"/>
              <w:spacing w:line="240" w:lineRule="auto"/>
              <w:ind w:firstLine="0" w:firstLineChars="0"/>
              <w:jc w:val="center"/>
              <w:rPr>
                <w:rFonts w:eastAsia="宋体" w:cs="Times New Roman"/>
                <w:sz w:val="21"/>
                <w:szCs w:val="21"/>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7" w:type="dxa"/>
            <w:vMerge w:val="continue"/>
            <w:vAlign w:val="center"/>
          </w:tcPr>
          <w:p>
            <w:pPr>
              <w:adjustRightInd w:val="0"/>
              <w:snapToGrid w:val="0"/>
              <w:spacing w:line="240" w:lineRule="auto"/>
              <w:ind w:firstLine="0" w:firstLineChars="0"/>
              <w:jc w:val="center"/>
              <w:rPr>
                <w:rFonts w:eastAsia="宋体" w:cs="Times New Roman"/>
                <w:sz w:val="21"/>
                <w:szCs w:val="21"/>
                <w:lang w:val="zh-CN"/>
              </w:rPr>
            </w:pPr>
          </w:p>
        </w:tc>
        <w:tc>
          <w:tcPr>
            <w:tcW w:w="2410"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干粉灭火器</w:t>
            </w:r>
          </w:p>
        </w:tc>
        <w:tc>
          <w:tcPr>
            <w:tcW w:w="1276"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80个</w:t>
            </w:r>
          </w:p>
        </w:tc>
        <w:tc>
          <w:tcPr>
            <w:tcW w:w="2693"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仓库、各单位</w:t>
            </w:r>
          </w:p>
        </w:tc>
        <w:tc>
          <w:tcPr>
            <w:tcW w:w="1332" w:type="dxa"/>
            <w:vAlign w:val="center"/>
          </w:tcPr>
          <w:p>
            <w:pPr>
              <w:adjustRightInd w:val="0"/>
              <w:snapToGrid w:val="0"/>
              <w:spacing w:line="240" w:lineRule="auto"/>
              <w:ind w:firstLine="0" w:firstLineChars="0"/>
              <w:jc w:val="center"/>
              <w:rPr>
                <w:rFonts w:eastAsia="宋体" w:cs="Times New Roman"/>
                <w:sz w:val="21"/>
                <w:szCs w:val="21"/>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7" w:type="dxa"/>
            <w:vMerge w:val="continue"/>
            <w:vAlign w:val="center"/>
          </w:tcPr>
          <w:p>
            <w:pPr>
              <w:adjustRightInd w:val="0"/>
              <w:snapToGrid w:val="0"/>
              <w:spacing w:line="240" w:lineRule="auto"/>
              <w:ind w:firstLine="0" w:firstLineChars="0"/>
              <w:jc w:val="center"/>
              <w:rPr>
                <w:rFonts w:eastAsia="宋体" w:cs="Times New Roman"/>
                <w:sz w:val="21"/>
                <w:szCs w:val="21"/>
                <w:lang w:val="zh-CN"/>
              </w:rPr>
            </w:pPr>
          </w:p>
        </w:tc>
        <w:tc>
          <w:tcPr>
            <w:tcW w:w="2410"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铁锹</w:t>
            </w:r>
          </w:p>
        </w:tc>
        <w:tc>
          <w:tcPr>
            <w:tcW w:w="1276"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200把</w:t>
            </w:r>
          </w:p>
        </w:tc>
        <w:tc>
          <w:tcPr>
            <w:tcW w:w="2693"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物资仓库</w:t>
            </w:r>
          </w:p>
        </w:tc>
        <w:tc>
          <w:tcPr>
            <w:tcW w:w="1332" w:type="dxa"/>
            <w:vAlign w:val="center"/>
          </w:tcPr>
          <w:p>
            <w:pPr>
              <w:adjustRightInd w:val="0"/>
              <w:snapToGrid w:val="0"/>
              <w:spacing w:line="240" w:lineRule="auto"/>
              <w:ind w:firstLine="0" w:firstLineChars="0"/>
              <w:jc w:val="center"/>
              <w:rPr>
                <w:rFonts w:eastAsia="宋体" w:cs="Times New Roman"/>
                <w:sz w:val="21"/>
                <w:szCs w:val="21"/>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7" w:type="dxa"/>
            <w:vMerge w:val="continue"/>
            <w:vAlign w:val="center"/>
          </w:tcPr>
          <w:p>
            <w:pPr>
              <w:adjustRightInd w:val="0"/>
              <w:snapToGrid w:val="0"/>
              <w:spacing w:line="240" w:lineRule="auto"/>
              <w:ind w:firstLine="0" w:firstLineChars="0"/>
              <w:jc w:val="center"/>
              <w:rPr>
                <w:rFonts w:eastAsia="宋体" w:cs="Times New Roman"/>
                <w:sz w:val="21"/>
                <w:szCs w:val="21"/>
                <w:lang w:val="zh-CN"/>
              </w:rPr>
            </w:pPr>
          </w:p>
        </w:tc>
        <w:tc>
          <w:tcPr>
            <w:tcW w:w="2410"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铁线</w:t>
            </w:r>
          </w:p>
        </w:tc>
        <w:tc>
          <w:tcPr>
            <w:tcW w:w="1276"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2000kg</w:t>
            </w:r>
          </w:p>
        </w:tc>
        <w:tc>
          <w:tcPr>
            <w:tcW w:w="2693"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物资仓库</w:t>
            </w:r>
          </w:p>
        </w:tc>
        <w:tc>
          <w:tcPr>
            <w:tcW w:w="1332" w:type="dxa"/>
            <w:vAlign w:val="center"/>
          </w:tcPr>
          <w:p>
            <w:pPr>
              <w:adjustRightInd w:val="0"/>
              <w:snapToGrid w:val="0"/>
              <w:spacing w:line="240" w:lineRule="auto"/>
              <w:ind w:firstLine="0" w:firstLineChars="0"/>
              <w:jc w:val="center"/>
              <w:rPr>
                <w:rFonts w:eastAsia="宋体" w:cs="Times New Roman"/>
                <w:sz w:val="21"/>
                <w:szCs w:val="21"/>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7" w:type="dxa"/>
            <w:vMerge w:val="continue"/>
            <w:vAlign w:val="center"/>
          </w:tcPr>
          <w:p>
            <w:pPr>
              <w:adjustRightInd w:val="0"/>
              <w:snapToGrid w:val="0"/>
              <w:spacing w:line="240" w:lineRule="auto"/>
              <w:ind w:firstLine="0" w:firstLineChars="0"/>
              <w:jc w:val="center"/>
              <w:rPr>
                <w:rFonts w:eastAsia="宋体" w:cs="Times New Roman"/>
                <w:sz w:val="21"/>
                <w:szCs w:val="21"/>
                <w:lang w:val="zh-CN"/>
              </w:rPr>
            </w:pPr>
          </w:p>
        </w:tc>
        <w:tc>
          <w:tcPr>
            <w:tcW w:w="2410"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编织袋</w:t>
            </w:r>
          </w:p>
        </w:tc>
        <w:tc>
          <w:tcPr>
            <w:tcW w:w="1276"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5000个</w:t>
            </w:r>
          </w:p>
        </w:tc>
        <w:tc>
          <w:tcPr>
            <w:tcW w:w="2693"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物资仓库</w:t>
            </w:r>
          </w:p>
        </w:tc>
        <w:tc>
          <w:tcPr>
            <w:tcW w:w="1332" w:type="dxa"/>
            <w:vAlign w:val="center"/>
          </w:tcPr>
          <w:p>
            <w:pPr>
              <w:adjustRightInd w:val="0"/>
              <w:snapToGrid w:val="0"/>
              <w:spacing w:line="240" w:lineRule="auto"/>
              <w:ind w:firstLine="0" w:firstLineChars="0"/>
              <w:jc w:val="center"/>
              <w:rPr>
                <w:rFonts w:eastAsia="宋体" w:cs="Times New Roman"/>
                <w:sz w:val="21"/>
                <w:szCs w:val="21"/>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7" w:type="dxa"/>
            <w:vMerge w:val="restart"/>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工具、防护用具</w:t>
            </w:r>
          </w:p>
        </w:tc>
        <w:tc>
          <w:tcPr>
            <w:tcW w:w="2410"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对讲机</w:t>
            </w:r>
          </w:p>
        </w:tc>
        <w:tc>
          <w:tcPr>
            <w:tcW w:w="1276" w:type="dxa"/>
            <w:vAlign w:val="center"/>
          </w:tcPr>
          <w:p>
            <w:pPr>
              <w:adjustRightInd w:val="0"/>
              <w:snapToGrid w:val="0"/>
              <w:spacing w:line="240" w:lineRule="auto"/>
              <w:ind w:firstLine="0" w:firstLineChars="0"/>
              <w:jc w:val="center"/>
              <w:rPr>
                <w:rFonts w:eastAsia="宋体" w:cs="Times New Roman"/>
                <w:sz w:val="21"/>
                <w:szCs w:val="21"/>
                <w:lang w:val="zh-CN"/>
              </w:rPr>
            </w:pPr>
            <w:r>
              <w:rPr>
                <w:rFonts w:hint="eastAsia" w:eastAsia="宋体" w:cs="Times New Roman"/>
                <w:sz w:val="21"/>
                <w:szCs w:val="21"/>
                <w:lang w:val="zh-CN"/>
              </w:rPr>
              <w:t>10</w:t>
            </w:r>
            <w:r>
              <w:rPr>
                <w:rFonts w:eastAsia="宋体" w:cs="Times New Roman"/>
                <w:sz w:val="21"/>
                <w:szCs w:val="21"/>
                <w:lang w:val="zh-CN"/>
              </w:rPr>
              <w:t>部</w:t>
            </w:r>
          </w:p>
        </w:tc>
        <w:tc>
          <w:tcPr>
            <w:tcW w:w="2693"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总调度室、各单位</w:t>
            </w:r>
          </w:p>
        </w:tc>
        <w:tc>
          <w:tcPr>
            <w:tcW w:w="1332" w:type="dxa"/>
            <w:vAlign w:val="center"/>
          </w:tcPr>
          <w:p>
            <w:pPr>
              <w:adjustRightInd w:val="0"/>
              <w:snapToGrid w:val="0"/>
              <w:spacing w:line="240" w:lineRule="auto"/>
              <w:ind w:firstLine="0" w:firstLineChars="0"/>
              <w:jc w:val="center"/>
              <w:rPr>
                <w:rFonts w:eastAsia="宋体" w:cs="Times New Roman"/>
                <w:sz w:val="21"/>
                <w:szCs w:val="21"/>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7" w:type="dxa"/>
            <w:vMerge w:val="continue"/>
            <w:vAlign w:val="center"/>
          </w:tcPr>
          <w:p>
            <w:pPr>
              <w:adjustRightInd w:val="0"/>
              <w:snapToGrid w:val="0"/>
              <w:spacing w:line="240" w:lineRule="auto"/>
              <w:ind w:firstLine="0" w:firstLineChars="0"/>
              <w:jc w:val="center"/>
              <w:rPr>
                <w:rFonts w:eastAsia="宋体" w:cs="Times New Roman"/>
                <w:sz w:val="21"/>
                <w:szCs w:val="21"/>
                <w:lang w:val="zh-CN"/>
              </w:rPr>
            </w:pPr>
          </w:p>
        </w:tc>
        <w:tc>
          <w:tcPr>
            <w:tcW w:w="2410"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急救箱</w:t>
            </w:r>
          </w:p>
        </w:tc>
        <w:tc>
          <w:tcPr>
            <w:tcW w:w="1276"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3个</w:t>
            </w:r>
          </w:p>
        </w:tc>
        <w:tc>
          <w:tcPr>
            <w:tcW w:w="2693"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生产现场、驻矿医院</w:t>
            </w:r>
          </w:p>
        </w:tc>
        <w:tc>
          <w:tcPr>
            <w:tcW w:w="1332" w:type="dxa"/>
            <w:vAlign w:val="center"/>
          </w:tcPr>
          <w:p>
            <w:pPr>
              <w:adjustRightInd w:val="0"/>
              <w:snapToGrid w:val="0"/>
              <w:spacing w:line="240" w:lineRule="auto"/>
              <w:ind w:firstLine="0" w:firstLineChars="0"/>
              <w:jc w:val="center"/>
              <w:rPr>
                <w:rFonts w:eastAsia="宋体" w:cs="Times New Roman"/>
                <w:sz w:val="21"/>
                <w:szCs w:val="21"/>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7" w:type="dxa"/>
            <w:vMerge w:val="continue"/>
            <w:vAlign w:val="center"/>
          </w:tcPr>
          <w:p>
            <w:pPr>
              <w:adjustRightInd w:val="0"/>
              <w:snapToGrid w:val="0"/>
              <w:spacing w:line="240" w:lineRule="auto"/>
              <w:ind w:firstLine="0" w:firstLineChars="0"/>
              <w:jc w:val="center"/>
              <w:rPr>
                <w:rFonts w:eastAsia="宋体" w:cs="Times New Roman"/>
                <w:sz w:val="21"/>
                <w:szCs w:val="21"/>
                <w:lang w:val="zh-CN"/>
              </w:rPr>
            </w:pPr>
          </w:p>
        </w:tc>
        <w:tc>
          <w:tcPr>
            <w:tcW w:w="2410"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便携式照明灯</w:t>
            </w:r>
          </w:p>
        </w:tc>
        <w:tc>
          <w:tcPr>
            <w:tcW w:w="1276"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30盏</w:t>
            </w:r>
          </w:p>
        </w:tc>
        <w:tc>
          <w:tcPr>
            <w:tcW w:w="2693"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物资仓库</w:t>
            </w:r>
          </w:p>
        </w:tc>
        <w:tc>
          <w:tcPr>
            <w:tcW w:w="1332" w:type="dxa"/>
            <w:vAlign w:val="center"/>
          </w:tcPr>
          <w:p>
            <w:pPr>
              <w:adjustRightInd w:val="0"/>
              <w:snapToGrid w:val="0"/>
              <w:spacing w:line="240" w:lineRule="auto"/>
              <w:ind w:firstLine="0" w:firstLineChars="0"/>
              <w:jc w:val="center"/>
              <w:rPr>
                <w:rFonts w:eastAsia="宋体" w:cs="Times New Roman"/>
                <w:sz w:val="21"/>
                <w:szCs w:val="21"/>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7" w:type="dxa"/>
            <w:vMerge w:val="continue"/>
            <w:vAlign w:val="center"/>
          </w:tcPr>
          <w:p>
            <w:pPr>
              <w:adjustRightInd w:val="0"/>
              <w:snapToGrid w:val="0"/>
              <w:spacing w:line="240" w:lineRule="auto"/>
              <w:ind w:firstLine="0" w:firstLineChars="0"/>
              <w:jc w:val="center"/>
              <w:rPr>
                <w:rFonts w:eastAsia="宋体" w:cs="Times New Roman"/>
                <w:sz w:val="21"/>
                <w:szCs w:val="21"/>
                <w:lang w:val="zh-CN"/>
              </w:rPr>
            </w:pPr>
          </w:p>
        </w:tc>
        <w:tc>
          <w:tcPr>
            <w:tcW w:w="2410"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空气呼吸器</w:t>
            </w:r>
          </w:p>
        </w:tc>
        <w:tc>
          <w:tcPr>
            <w:tcW w:w="1276"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4部</w:t>
            </w:r>
          </w:p>
        </w:tc>
        <w:tc>
          <w:tcPr>
            <w:tcW w:w="2693" w:type="dxa"/>
            <w:vAlign w:val="center"/>
          </w:tcPr>
          <w:p>
            <w:pPr>
              <w:adjustRightInd w:val="0"/>
              <w:snapToGrid w:val="0"/>
              <w:spacing w:line="240" w:lineRule="auto"/>
              <w:ind w:firstLine="0" w:firstLineChars="0"/>
              <w:jc w:val="center"/>
              <w:rPr>
                <w:rFonts w:eastAsia="宋体" w:cs="Times New Roman"/>
                <w:sz w:val="21"/>
                <w:szCs w:val="21"/>
              </w:rPr>
            </w:pPr>
            <w:r>
              <w:rPr>
                <w:rFonts w:eastAsia="宋体" w:cs="Times New Roman"/>
                <w:sz w:val="21"/>
                <w:szCs w:val="21"/>
              </w:rPr>
              <w:t>安全生产与环境保护处</w:t>
            </w:r>
          </w:p>
        </w:tc>
        <w:tc>
          <w:tcPr>
            <w:tcW w:w="1332" w:type="dxa"/>
            <w:vAlign w:val="center"/>
          </w:tcPr>
          <w:p>
            <w:pPr>
              <w:adjustRightInd w:val="0"/>
              <w:snapToGrid w:val="0"/>
              <w:spacing w:line="240" w:lineRule="auto"/>
              <w:ind w:firstLine="0" w:firstLineChars="0"/>
              <w:jc w:val="center"/>
              <w:rPr>
                <w:rFonts w:eastAsia="宋体" w:cs="Times New Roman"/>
                <w:sz w:val="21"/>
                <w:szCs w:val="21"/>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7" w:type="dxa"/>
            <w:vMerge w:val="continue"/>
            <w:vAlign w:val="center"/>
          </w:tcPr>
          <w:p>
            <w:pPr>
              <w:adjustRightInd w:val="0"/>
              <w:snapToGrid w:val="0"/>
              <w:spacing w:line="240" w:lineRule="auto"/>
              <w:ind w:firstLine="0" w:firstLineChars="0"/>
              <w:jc w:val="center"/>
              <w:rPr>
                <w:rFonts w:eastAsia="宋体" w:cs="Times New Roman"/>
                <w:sz w:val="21"/>
                <w:szCs w:val="21"/>
                <w:lang w:val="zh-CN"/>
              </w:rPr>
            </w:pPr>
          </w:p>
        </w:tc>
        <w:tc>
          <w:tcPr>
            <w:tcW w:w="2410"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担架</w:t>
            </w:r>
          </w:p>
        </w:tc>
        <w:tc>
          <w:tcPr>
            <w:tcW w:w="1276" w:type="dxa"/>
            <w:vAlign w:val="center"/>
          </w:tcPr>
          <w:p>
            <w:pPr>
              <w:adjustRightInd w:val="0"/>
              <w:snapToGrid w:val="0"/>
              <w:spacing w:line="240" w:lineRule="auto"/>
              <w:ind w:firstLine="0" w:firstLineChars="0"/>
              <w:jc w:val="center"/>
              <w:rPr>
                <w:rFonts w:eastAsia="宋体" w:cs="Times New Roman"/>
                <w:sz w:val="21"/>
                <w:szCs w:val="21"/>
                <w:lang w:val="zh-CN"/>
              </w:rPr>
            </w:pPr>
            <w:r>
              <w:rPr>
                <w:rFonts w:hint="eastAsia" w:eastAsia="宋体" w:cs="Times New Roman"/>
                <w:sz w:val="21"/>
                <w:szCs w:val="21"/>
                <w:lang w:val="zh-CN"/>
              </w:rPr>
              <w:t>1</w:t>
            </w:r>
            <w:r>
              <w:rPr>
                <w:rFonts w:eastAsia="宋体" w:cs="Times New Roman"/>
                <w:sz w:val="21"/>
                <w:szCs w:val="21"/>
                <w:lang w:val="zh-CN"/>
              </w:rPr>
              <w:t>副</w:t>
            </w:r>
          </w:p>
        </w:tc>
        <w:tc>
          <w:tcPr>
            <w:tcW w:w="2693"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驻矿医院</w:t>
            </w:r>
          </w:p>
        </w:tc>
        <w:tc>
          <w:tcPr>
            <w:tcW w:w="1332" w:type="dxa"/>
            <w:vAlign w:val="center"/>
          </w:tcPr>
          <w:p>
            <w:pPr>
              <w:adjustRightInd w:val="0"/>
              <w:snapToGrid w:val="0"/>
              <w:spacing w:line="240" w:lineRule="auto"/>
              <w:ind w:firstLine="0" w:firstLineChars="0"/>
              <w:jc w:val="center"/>
              <w:rPr>
                <w:rFonts w:eastAsia="宋体" w:cs="Times New Roman"/>
                <w:sz w:val="21"/>
                <w:szCs w:val="21"/>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7" w:type="dxa"/>
            <w:vMerge w:val="continue"/>
            <w:vAlign w:val="center"/>
          </w:tcPr>
          <w:p>
            <w:pPr>
              <w:adjustRightInd w:val="0"/>
              <w:snapToGrid w:val="0"/>
              <w:spacing w:line="240" w:lineRule="auto"/>
              <w:ind w:firstLine="0" w:firstLineChars="0"/>
              <w:jc w:val="center"/>
              <w:rPr>
                <w:rFonts w:eastAsia="宋体" w:cs="Times New Roman"/>
                <w:sz w:val="21"/>
                <w:szCs w:val="21"/>
                <w:lang w:val="zh-CN"/>
              </w:rPr>
            </w:pPr>
          </w:p>
        </w:tc>
        <w:tc>
          <w:tcPr>
            <w:tcW w:w="2410"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消防服</w:t>
            </w:r>
          </w:p>
        </w:tc>
        <w:tc>
          <w:tcPr>
            <w:tcW w:w="1276"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20套</w:t>
            </w:r>
          </w:p>
        </w:tc>
        <w:tc>
          <w:tcPr>
            <w:tcW w:w="2693"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总调度室</w:t>
            </w:r>
          </w:p>
        </w:tc>
        <w:tc>
          <w:tcPr>
            <w:tcW w:w="1332" w:type="dxa"/>
            <w:vAlign w:val="center"/>
          </w:tcPr>
          <w:p>
            <w:pPr>
              <w:adjustRightInd w:val="0"/>
              <w:snapToGrid w:val="0"/>
              <w:spacing w:line="240" w:lineRule="auto"/>
              <w:ind w:firstLine="0" w:firstLineChars="0"/>
              <w:jc w:val="center"/>
              <w:rPr>
                <w:rFonts w:eastAsia="宋体" w:cs="Times New Roman"/>
                <w:sz w:val="21"/>
                <w:szCs w:val="21"/>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7" w:type="dxa"/>
            <w:vMerge w:val="continue"/>
            <w:vAlign w:val="center"/>
          </w:tcPr>
          <w:p>
            <w:pPr>
              <w:adjustRightInd w:val="0"/>
              <w:snapToGrid w:val="0"/>
              <w:spacing w:line="240" w:lineRule="auto"/>
              <w:ind w:firstLine="0" w:firstLineChars="0"/>
              <w:jc w:val="center"/>
              <w:rPr>
                <w:rFonts w:eastAsia="宋体" w:cs="Times New Roman"/>
                <w:sz w:val="21"/>
                <w:szCs w:val="21"/>
                <w:lang w:val="zh-CN"/>
              </w:rPr>
            </w:pPr>
          </w:p>
        </w:tc>
        <w:tc>
          <w:tcPr>
            <w:tcW w:w="2410"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防护手套</w:t>
            </w:r>
          </w:p>
        </w:tc>
        <w:tc>
          <w:tcPr>
            <w:tcW w:w="1276"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200</w:t>
            </w:r>
            <w:r>
              <w:rPr>
                <w:rFonts w:hint="eastAsia" w:eastAsia="宋体" w:cs="Times New Roman"/>
                <w:sz w:val="21"/>
                <w:szCs w:val="21"/>
                <w:lang w:val="zh-CN"/>
              </w:rPr>
              <w:t>副</w:t>
            </w:r>
          </w:p>
        </w:tc>
        <w:tc>
          <w:tcPr>
            <w:tcW w:w="2693" w:type="dxa"/>
            <w:vAlign w:val="center"/>
          </w:tcPr>
          <w:p>
            <w:pPr>
              <w:adjustRightInd w:val="0"/>
              <w:snapToGrid w:val="0"/>
              <w:spacing w:line="240" w:lineRule="auto"/>
              <w:ind w:firstLine="0" w:firstLineChars="0"/>
              <w:jc w:val="center"/>
              <w:rPr>
                <w:rFonts w:eastAsia="宋体" w:cs="Times New Roman"/>
                <w:sz w:val="21"/>
                <w:szCs w:val="21"/>
                <w:lang w:val="zh-CN"/>
              </w:rPr>
            </w:pPr>
            <w:r>
              <w:rPr>
                <w:rFonts w:eastAsia="宋体" w:cs="Times New Roman"/>
                <w:sz w:val="21"/>
                <w:szCs w:val="21"/>
                <w:lang w:val="zh-CN"/>
              </w:rPr>
              <w:t>物资仓库</w:t>
            </w:r>
          </w:p>
        </w:tc>
        <w:tc>
          <w:tcPr>
            <w:tcW w:w="1332" w:type="dxa"/>
            <w:vAlign w:val="center"/>
          </w:tcPr>
          <w:p>
            <w:pPr>
              <w:adjustRightInd w:val="0"/>
              <w:snapToGrid w:val="0"/>
              <w:spacing w:line="240" w:lineRule="auto"/>
              <w:ind w:firstLine="0" w:firstLineChars="0"/>
              <w:jc w:val="center"/>
              <w:rPr>
                <w:rFonts w:eastAsia="宋体" w:cs="Times New Roman"/>
                <w:sz w:val="21"/>
                <w:szCs w:val="21"/>
                <w:lang w:val="zh-CN"/>
              </w:rPr>
            </w:pPr>
          </w:p>
        </w:tc>
      </w:tr>
    </w:tbl>
    <w:p>
      <w:pPr>
        <w:pStyle w:val="3"/>
        <w:rPr>
          <w:rFonts w:cs="Times New Roman"/>
          <w:szCs w:val="28"/>
        </w:rPr>
      </w:pPr>
      <w:bookmarkStart w:id="129" w:name="_Toc94185498"/>
      <w:bookmarkStart w:id="130" w:name="_Toc127266663"/>
      <w:bookmarkStart w:id="131" w:name="_Toc97540971"/>
      <w:r>
        <w:rPr>
          <w:rFonts w:cs="Times New Roman"/>
          <w:szCs w:val="28"/>
        </w:rPr>
        <w:t>8.3 突发环境事件发生及处置情况</w:t>
      </w:r>
      <w:bookmarkEnd w:id="129"/>
      <w:bookmarkEnd w:id="130"/>
      <w:bookmarkEnd w:id="131"/>
    </w:p>
    <w:p>
      <w:pPr>
        <w:ind w:firstLine="480"/>
        <w:rPr>
          <w:rFonts w:cs="Times New Roman"/>
        </w:rPr>
      </w:pPr>
      <w:r>
        <w:rPr>
          <w:rFonts w:cs="Times New Roman"/>
        </w:rPr>
        <w:t>202</w:t>
      </w:r>
      <w:r>
        <w:rPr>
          <w:rFonts w:hint="eastAsia" w:cs="Times New Roman"/>
        </w:rPr>
        <w:t>2</w:t>
      </w:r>
      <w:r>
        <w:rPr>
          <w:rFonts w:cs="Times New Roman"/>
        </w:rPr>
        <w:t>年，</w:t>
      </w:r>
      <w:r>
        <w:rPr>
          <w:rFonts w:hint="eastAsia" w:cs="Times New Roman"/>
        </w:rPr>
        <w:t>曙光金铜矿</w:t>
      </w:r>
      <w:r>
        <w:rPr>
          <w:rFonts w:cs="Times New Roman"/>
        </w:rPr>
        <w:t>未发生过突发环境事件。</w:t>
      </w:r>
    </w:p>
    <w:p>
      <w:pPr>
        <w:pStyle w:val="3"/>
        <w:rPr>
          <w:rFonts w:cs="Times New Roman"/>
          <w:szCs w:val="28"/>
        </w:rPr>
      </w:pPr>
      <w:bookmarkStart w:id="132" w:name="_Toc94185499"/>
      <w:bookmarkStart w:id="133" w:name="_Toc127266664"/>
      <w:bookmarkStart w:id="134" w:name="_Toc97540972"/>
      <w:r>
        <w:rPr>
          <w:rFonts w:cs="Times New Roman"/>
          <w:szCs w:val="28"/>
        </w:rPr>
        <w:t>8.4 重污染天气应急响应情况</w:t>
      </w:r>
      <w:bookmarkEnd w:id="132"/>
      <w:bookmarkEnd w:id="133"/>
      <w:bookmarkEnd w:id="134"/>
    </w:p>
    <w:p>
      <w:pPr>
        <w:ind w:firstLine="480"/>
        <w:rPr>
          <w:rFonts w:cs="Times New Roman"/>
          <w:snapToGrid w:val="0"/>
          <w:kern w:val="0"/>
        </w:rPr>
      </w:pPr>
      <w:r>
        <w:rPr>
          <w:rFonts w:cs="Times New Roman"/>
          <w:snapToGrid w:val="0"/>
          <w:kern w:val="0"/>
        </w:rPr>
        <w:t>根据排污许可证</w:t>
      </w:r>
      <w:r>
        <w:rPr>
          <w:rFonts w:hint="eastAsia" w:cs="Times New Roman"/>
          <w:snapToGrid w:val="0"/>
          <w:kern w:val="0"/>
        </w:rPr>
        <w:t>要求</w:t>
      </w:r>
      <w:r>
        <w:rPr>
          <w:rFonts w:cs="Times New Roman"/>
          <w:snapToGrid w:val="0"/>
          <w:kern w:val="0"/>
        </w:rPr>
        <w:t>，</w:t>
      </w:r>
      <w:r>
        <w:rPr>
          <w:rFonts w:hint="eastAsia" w:cs="Times New Roman"/>
        </w:rPr>
        <w:t>曙光金铜矿</w:t>
      </w:r>
      <w:r>
        <w:rPr>
          <w:rFonts w:hint="eastAsia" w:cs="Times New Roman"/>
          <w:snapToGrid w:val="0"/>
          <w:kern w:val="0"/>
        </w:rPr>
        <w:t>根据有关重污染天气应急预案及减排清单要求，落实相应的重污染天气应急响应措施；废水、废气、固废等污染物有行业标准的按行业标准执行，无行业标准的按照环保部门要求执行。</w:t>
      </w:r>
      <w:r>
        <w:rPr>
          <w:rFonts w:hint="eastAsia" w:cs="Times New Roman"/>
        </w:rPr>
        <w:t>曙光金铜矿已制定《</w:t>
      </w:r>
      <w:r>
        <w:rPr>
          <w:rFonts w:cs="Times New Roman"/>
          <w:snapToGrid w:val="0"/>
          <w:kern w:val="0"/>
        </w:rPr>
        <w:t>珲春紫金矿业有限公司曙光金铜矿</w:t>
      </w:r>
      <w:r>
        <w:rPr>
          <w:rFonts w:hint="eastAsia" w:cs="Times New Roman"/>
        </w:rPr>
        <w:t>重污染天气应急预案》。</w:t>
      </w:r>
    </w:p>
    <w:p>
      <w:pPr>
        <w:ind w:firstLine="480"/>
        <w:rPr>
          <w:rFonts w:cs="Times New Roman"/>
          <w:snapToGrid w:val="0"/>
          <w:kern w:val="0"/>
        </w:rPr>
      </w:pPr>
      <w:r>
        <w:rPr>
          <w:rFonts w:hint="eastAsia" w:cs="Times New Roman"/>
          <w:snapToGrid w:val="0"/>
          <w:kern w:val="0"/>
        </w:rPr>
        <w:t>2022年，延边朝鲜族自治州未发布重污染天气预警，曙光金铜矿未启动重污染天气应急响应措施。</w:t>
      </w:r>
    </w:p>
    <w:p>
      <w:pPr>
        <w:ind w:firstLine="480"/>
        <w:rPr>
          <w:rFonts w:cs="Times New Roman"/>
          <w:snapToGrid w:val="0"/>
          <w:kern w:val="0"/>
        </w:rPr>
        <w:sectPr>
          <w:pgSz w:w="11906" w:h="16838"/>
          <w:pgMar w:top="1440" w:right="1797" w:bottom="1440" w:left="1797" w:header="851" w:footer="992" w:gutter="0"/>
          <w:cols w:space="425" w:num="1"/>
          <w:docGrid w:type="lines" w:linePitch="312" w:charSpace="0"/>
        </w:sectPr>
      </w:pPr>
    </w:p>
    <w:p>
      <w:pPr>
        <w:pStyle w:val="2"/>
        <w:spacing w:after="0"/>
        <w:rPr>
          <w:rFonts w:cs="Times New Roman"/>
          <w:sz w:val="30"/>
          <w:szCs w:val="30"/>
        </w:rPr>
      </w:pPr>
      <w:bookmarkStart w:id="135" w:name="_Toc94185500"/>
      <w:bookmarkStart w:id="136" w:name="_Toc127266665"/>
      <w:bookmarkStart w:id="137" w:name="_Toc97540973"/>
      <w:r>
        <w:rPr>
          <w:rFonts w:cs="Times New Roman"/>
          <w:sz w:val="30"/>
          <w:szCs w:val="30"/>
        </w:rPr>
        <w:t>9 生态环境违法信息</w:t>
      </w:r>
      <w:bookmarkEnd w:id="135"/>
      <w:bookmarkEnd w:id="136"/>
      <w:bookmarkEnd w:id="137"/>
    </w:p>
    <w:p>
      <w:pPr>
        <w:pStyle w:val="3"/>
        <w:rPr>
          <w:rFonts w:cs="Times New Roman"/>
          <w:szCs w:val="28"/>
        </w:rPr>
      </w:pPr>
      <w:bookmarkStart w:id="138" w:name="_Toc94185501"/>
      <w:bookmarkStart w:id="139" w:name="_Toc97540974"/>
      <w:bookmarkStart w:id="140" w:name="_Toc127266666"/>
      <w:r>
        <w:rPr>
          <w:rFonts w:cs="Times New Roman"/>
          <w:szCs w:val="28"/>
        </w:rPr>
        <w:t>9.1 生态环境行政处罚信息</w:t>
      </w:r>
      <w:bookmarkEnd w:id="138"/>
      <w:bookmarkEnd w:id="139"/>
      <w:bookmarkEnd w:id="140"/>
    </w:p>
    <w:p>
      <w:pPr>
        <w:ind w:firstLine="480"/>
        <w:rPr>
          <w:rFonts w:cs="Times New Roman"/>
        </w:rPr>
      </w:pPr>
      <w:r>
        <w:rPr>
          <w:rFonts w:cs="Times New Roman"/>
        </w:rPr>
        <w:t>202</w:t>
      </w:r>
      <w:r>
        <w:rPr>
          <w:rFonts w:hint="eastAsia" w:cs="Times New Roman"/>
        </w:rPr>
        <w:t>2</w:t>
      </w:r>
      <w:r>
        <w:rPr>
          <w:rFonts w:cs="Times New Roman"/>
        </w:rPr>
        <w:t>年，</w:t>
      </w:r>
      <w:r>
        <w:rPr>
          <w:rFonts w:hint="eastAsia" w:cs="Times New Roman"/>
        </w:rPr>
        <w:t>曙光金铜矿</w:t>
      </w:r>
      <w:r>
        <w:rPr>
          <w:rFonts w:cs="Times New Roman"/>
        </w:rPr>
        <w:t>未受到生态环境行政处罚。</w:t>
      </w:r>
    </w:p>
    <w:p>
      <w:pPr>
        <w:pStyle w:val="3"/>
        <w:rPr>
          <w:rFonts w:cs="Times New Roman"/>
          <w:szCs w:val="28"/>
        </w:rPr>
      </w:pPr>
      <w:bookmarkStart w:id="141" w:name="_Toc94185502"/>
      <w:bookmarkStart w:id="142" w:name="_Toc127266667"/>
      <w:bookmarkStart w:id="143" w:name="_Toc97540975"/>
      <w:r>
        <w:rPr>
          <w:rFonts w:cs="Times New Roman"/>
          <w:szCs w:val="28"/>
        </w:rPr>
        <w:t>9.2 生态环境司法判决信息</w:t>
      </w:r>
      <w:bookmarkEnd w:id="141"/>
      <w:bookmarkEnd w:id="142"/>
      <w:bookmarkEnd w:id="143"/>
    </w:p>
    <w:p>
      <w:pPr>
        <w:ind w:firstLine="480"/>
        <w:rPr>
          <w:rFonts w:cs="Times New Roman"/>
        </w:rPr>
      </w:pPr>
      <w:r>
        <w:rPr>
          <w:rFonts w:cs="Times New Roman"/>
        </w:rPr>
        <w:t>202</w:t>
      </w:r>
      <w:r>
        <w:rPr>
          <w:rFonts w:hint="eastAsia" w:cs="Times New Roman"/>
        </w:rPr>
        <w:t>2</w:t>
      </w:r>
      <w:r>
        <w:rPr>
          <w:rFonts w:cs="Times New Roman"/>
        </w:rPr>
        <w:t>年，</w:t>
      </w:r>
      <w:r>
        <w:rPr>
          <w:rFonts w:hint="eastAsia" w:cs="Times New Roman"/>
        </w:rPr>
        <w:t>曙光金铜矿</w:t>
      </w:r>
      <w:r>
        <w:rPr>
          <w:rFonts w:cs="Times New Roman"/>
        </w:rPr>
        <w:t>未受到生态环境司法判决书/调解书。</w:t>
      </w:r>
    </w:p>
    <w:p>
      <w:pPr>
        <w:ind w:firstLine="199" w:firstLineChars="83"/>
        <w:rPr>
          <w:rFonts w:cs="Times New Roman"/>
        </w:rPr>
      </w:pPr>
    </w:p>
    <w:p>
      <w:pPr>
        <w:ind w:firstLine="199" w:firstLineChars="83"/>
        <w:rPr>
          <w:rFonts w:cs="Times New Roman"/>
          <w:snapToGrid w:val="0"/>
          <w:kern w:val="0"/>
        </w:rPr>
        <w:sectPr>
          <w:pgSz w:w="11906" w:h="16838"/>
          <w:pgMar w:top="1440" w:right="1797" w:bottom="1440" w:left="1797" w:header="851" w:footer="992" w:gutter="0"/>
          <w:cols w:space="425" w:num="1"/>
          <w:docGrid w:type="lines" w:linePitch="312" w:charSpace="0"/>
        </w:sectPr>
      </w:pPr>
    </w:p>
    <w:p>
      <w:pPr>
        <w:pStyle w:val="2"/>
        <w:spacing w:after="0"/>
        <w:rPr>
          <w:rFonts w:cs="Times New Roman"/>
          <w:sz w:val="30"/>
          <w:szCs w:val="30"/>
        </w:rPr>
      </w:pPr>
      <w:bookmarkStart w:id="144" w:name="_Toc127266668"/>
      <w:bookmarkStart w:id="145" w:name="_Toc97540976"/>
      <w:bookmarkStart w:id="146" w:name="_Toc94185503"/>
      <w:r>
        <w:rPr>
          <w:rFonts w:cs="Times New Roman"/>
          <w:sz w:val="30"/>
          <w:szCs w:val="30"/>
        </w:rPr>
        <w:t>10 本年度临时报告情况</w:t>
      </w:r>
      <w:bookmarkEnd w:id="144"/>
      <w:bookmarkEnd w:id="145"/>
      <w:bookmarkEnd w:id="146"/>
    </w:p>
    <w:p>
      <w:pPr>
        <w:ind w:firstLine="480"/>
        <w:rPr>
          <w:rFonts w:cs="Times New Roman"/>
        </w:rPr>
      </w:pPr>
      <w:r>
        <w:rPr>
          <w:rFonts w:cs="Times New Roman"/>
        </w:rPr>
        <w:t>202</w:t>
      </w:r>
      <w:r>
        <w:rPr>
          <w:rFonts w:hint="eastAsia" w:cs="Times New Roman"/>
        </w:rPr>
        <w:t>2</w:t>
      </w:r>
      <w:r>
        <w:rPr>
          <w:rFonts w:cs="Times New Roman"/>
        </w:rPr>
        <w:t>年，</w:t>
      </w:r>
      <w:r>
        <w:rPr>
          <w:rFonts w:hint="eastAsia" w:cs="Times New Roman"/>
        </w:rPr>
        <w:t>曙光金铜矿</w:t>
      </w:r>
      <w:r>
        <w:rPr>
          <w:rFonts w:cs="Times New Roman"/>
        </w:rPr>
        <w:t>未发布临时环境信息依法披露报告。</w:t>
      </w:r>
    </w:p>
    <w:p>
      <w:pPr>
        <w:ind w:firstLine="480"/>
        <w:rPr>
          <w:rFonts w:cs="Times New Roman"/>
          <w:snapToGrid w:val="0"/>
          <w:kern w:val="0"/>
        </w:rPr>
      </w:pPr>
    </w:p>
    <w:p>
      <w:pPr>
        <w:ind w:firstLine="480"/>
        <w:rPr>
          <w:rFonts w:cs="Times New Roman"/>
        </w:rPr>
        <w:sectPr>
          <w:pgSz w:w="11906" w:h="16838"/>
          <w:pgMar w:top="1440" w:right="1797" w:bottom="1440" w:left="1797" w:header="851" w:footer="992" w:gutter="0"/>
          <w:cols w:space="425" w:num="1"/>
          <w:docGrid w:type="lines" w:linePitch="312" w:charSpace="0"/>
        </w:sectPr>
      </w:pPr>
    </w:p>
    <w:p>
      <w:pPr>
        <w:pStyle w:val="2"/>
        <w:spacing w:after="0"/>
        <w:rPr>
          <w:rFonts w:cs="Times New Roman"/>
          <w:sz w:val="30"/>
          <w:szCs w:val="30"/>
        </w:rPr>
      </w:pPr>
      <w:bookmarkStart w:id="147" w:name="_Toc127266669"/>
      <w:bookmarkStart w:id="148" w:name="_Toc97540977"/>
      <w:bookmarkStart w:id="149" w:name="_Toc380682338"/>
      <w:bookmarkStart w:id="150" w:name="_Toc94185504"/>
      <w:bookmarkStart w:id="151" w:name="_Toc329529489"/>
      <w:r>
        <w:rPr>
          <w:rFonts w:cs="Times New Roman"/>
          <w:sz w:val="30"/>
          <w:szCs w:val="30"/>
        </w:rPr>
        <w:t>11</w:t>
      </w:r>
      <w:r>
        <w:rPr>
          <w:rFonts w:hint="eastAsia" w:cs="Times New Roman"/>
          <w:sz w:val="30"/>
          <w:szCs w:val="30"/>
        </w:rPr>
        <w:t xml:space="preserve"> </w:t>
      </w:r>
      <w:r>
        <w:rPr>
          <w:rFonts w:cs="Times New Roman"/>
          <w:sz w:val="30"/>
          <w:szCs w:val="30"/>
        </w:rPr>
        <w:t>附件</w:t>
      </w:r>
      <w:bookmarkEnd w:id="147"/>
      <w:bookmarkEnd w:id="148"/>
      <w:bookmarkEnd w:id="149"/>
      <w:bookmarkEnd w:id="150"/>
      <w:bookmarkEnd w:id="151"/>
    </w:p>
    <w:p>
      <w:pPr>
        <w:spacing w:line="440" w:lineRule="exact"/>
        <w:ind w:firstLine="480"/>
        <w:rPr>
          <w:rFonts w:cs="Times New Roman"/>
          <w:kern w:val="0"/>
        </w:rPr>
      </w:pPr>
      <w:r>
        <w:rPr>
          <w:rFonts w:cs="Times New Roman"/>
          <w:kern w:val="0"/>
        </w:rPr>
        <w:t>附件</w:t>
      </w:r>
      <w:r>
        <w:rPr>
          <w:rFonts w:hint="eastAsia" w:cs="Times New Roman"/>
          <w:kern w:val="0"/>
        </w:rPr>
        <w:t>1</w:t>
      </w:r>
      <w:r>
        <w:rPr>
          <w:rFonts w:cs="Times New Roman"/>
          <w:kern w:val="0"/>
        </w:rPr>
        <w:t>：一般工业固体废物委托处置</w:t>
      </w:r>
      <w:r>
        <w:rPr>
          <w:rFonts w:hint="eastAsia" w:cs="Times New Roman"/>
          <w:kern w:val="0"/>
        </w:rPr>
        <w:t>单位能力证明</w:t>
      </w:r>
      <w:r>
        <w:rPr>
          <w:rFonts w:cs="Times New Roman"/>
          <w:kern w:val="0"/>
        </w:rPr>
        <w:t>；</w:t>
      </w:r>
    </w:p>
    <w:p>
      <w:pPr>
        <w:spacing w:line="440" w:lineRule="exact"/>
        <w:ind w:firstLine="480"/>
        <w:rPr>
          <w:rFonts w:cs="Times New Roman"/>
          <w:kern w:val="0"/>
          <w:szCs w:val="21"/>
        </w:rPr>
      </w:pPr>
      <w:r>
        <w:rPr>
          <w:rFonts w:cs="Times New Roman"/>
          <w:kern w:val="0"/>
          <w:szCs w:val="21"/>
        </w:rPr>
        <w:t>附件</w:t>
      </w:r>
      <w:r>
        <w:rPr>
          <w:rFonts w:hint="eastAsia" w:cs="Times New Roman"/>
          <w:kern w:val="0"/>
          <w:szCs w:val="21"/>
        </w:rPr>
        <w:t>2</w:t>
      </w:r>
      <w:r>
        <w:rPr>
          <w:rFonts w:cs="Times New Roman"/>
          <w:kern w:val="0"/>
          <w:szCs w:val="21"/>
        </w:rPr>
        <w:t>：危险废物处置</w:t>
      </w:r>
      <w:r>
        <w:rPr>
          <w:rFonts w:hint="eastAsia" w:cs="Times New Roman"/>
          <w:kern w:val="0"/>
          <w:szCs w:val="21"/>
        </w:rPr>
        <w:t>单位</w:t>
      </w:r>
      <w:r>
        <w:rPr>
          <w:rFonts w:cs="Times New Roman"/>
          <w:kern w:val="0"/>
          <w:szCs w:val="21"/>
        </w:rPr>
        <w:t>资质</w:t>
      </w:r>
      <w:r>
        <w:rPr>
          <w:rFonts w:hint="eastAsia" w:cs="Times New Roman"/>
          <w:kern w:val="0"/>
          <w:szCs w:val="21"/>
        </w:rPr>
        <w:t>及转移联单</w:t>
      </w:r>
      <w:r>
        <w:rPr>
          <w:rFonts w:cs="Times New Roman"/>
          <w:kern w:val="0"/>
          <w:szCs w:val="21"/>
        </w:rPr>
        <w:t>；</w:t>
      </w:r>
    </w:p>
    <w:p>
      <w:pPr>
        <w:spacing w:line="440" w:lineRule="exact"/>
        <w:ind w:firstLine="480"/>
        <w:rPr>
          <w:rFonts w:cs="Times New Roman"/>
          <w:kern w:val="0"/>
          <w:szCs w:val="21"/>
        </w:rPr>
      </w:pPr>
      <w:r>
        <w:rPr>
          <w:rFonts w:cs="Times New Roman"/>
          <w:kern w:val="0"/>
          <w:szCs w:val="21"/>
        </w:rPr>
        <w:t>附件</w:t>
      </w:r>
      <w:r>
        <w:rPr>
          <w:rFonts w:hint="eastAsia" w:cs="Times New Roman"/>
          <w:kern w:val="0"/>
          <w:szCs w:val="21"/>
        </w:rPr>
        <w:t>3</w:t>
      </w:r>
      <w:r>
        <w:rPr>
          <w:rFonts w:cs="Times New Roman"/>
          <w:kern w:val="0"/>
          <w:szCs w:val="21"/>
        </w:rPr>
        <w:t>：</w:t>
      </w:r>
      <w:r>
        <w:rPr>
          <w:rFonts w:hint="eastAsia" w:cs="Times New Roman"/>
          <w:kern w:val="0"/>
          <w:szCs w:val="21"/>
        </w:rPr>
        <w:t>应急预案备案文件</w:t>
      </w:r>
      <w:r>
        <w:rPr>
          <w:rFonts w:cs="Times New Roman"/>
          <w:kern w:val="0"/>
          <w:szCs w:val="21"/>
        </w:rPr>
        <w:t>。</w:t>
      </w:r>
    </w:p>
    <w:p>
      <w:pPr>
        <w:widowControl/>
        <w:spacing w:line="240" w:lineRule="auto"/>
        <w:ind w:firstLine="0" w:firstLineChars="0"/>
        <w:jc w:val="left"/>
        <w:rPr>
          <w:rFonts w:cs="Times New Roman"/>
        </w:rPr>
      </w:pPr>
    </w:p>
    <w:p>
      <w:pPr>
        <w:widowControl/>
        <w:spacing w:line="240" w:lineRule="auto"/>
        <w:ind w:firstLine="0" w:firstLineChars="0"/>
        <w:jc w:val="left"/>
        <w:rPr>
          <w:rFonts w:cs="Times New Roman"/>
        </w:rPr>
      </w:pPr>
      <w:r>
        <w:rPr>
          <w:rFonts w:cs="Times New Roman"/>
        </w:rPr>
        <w:br w:type="page"/>
      </w:r>
    </w:p>
    <w:p>
      <w:pPr>
        <w:ind w:firstLine="0" w:firstLineChars="0"/>
        <w:rPr>
          <w:rFonts w:cs="Times New Roman"/>
          <w:kern w:val="0"/>
          <w:szCs w:val="21"/>
        </w:rPr>
        <w:sectPr>
          <w:pgSz w:w="11906" w:h="16838"/>
          <w:pgMar w:top="1440" w:right="1800" w:bottom="1440" w:left="1800" w:header="851" w:footer="992" w:gutter="0"/>
          <w:cols w:space="425" w:num="1"/>
          <w:docGrid w:type="lines" w:linePitch="312" w:charSpace="0"/>
        </w:sectPr>
      </w:pPr>
    </w:p>
    <w:p>
      <w:pPr>
        <w:ind w:firstLine="0" w:firstLineChars="0"/>
        <w:outlineLvl w:val="1"/>
        <w:rPr>
          <w:rFonts w:cs="Times New Roman"/>
        </w:rPr>
      </w:pPr>
      <w:bookmarkStart w:id="152" w:name="_Toc97540979"/>
      <w:bookmarkStart w:id="153" w:name="_Toc127266671"/>
      <w:r>
        <w:rPr>
          <w:rFonts w:cs="Times New Roman"/>
        </w:rPr>
        <w:t>附件</w:t>
      </w:r>
      <w:r>
        <w:rPr>
          <w:rFonts w:hint="eastAsia" w:cs="Times New Roman"/>
        </w:rPr>
        <w:t>1</w:t>
      </w:r>
      <w:r>
        <w:rPr>
          <w:rFonts w:cs="Times New Roman"/>
        </w:rPr>
        <w:t>：一般工业固体废物委托处置</w:t>
      </w:r>
      <w:r>
        <w:rPr>
          <w:rFonts w:hint="eastAsia" w:cs="Times New Roman"/>
        </w:rPr>
        <w:t>单位能力证明</w:t>
      </w:r>
      <w:bookmarkEnd w:id="152"/>
      <w:bookmarkEnd w:id="153"/>
    </w:p>
    <w:p>
      <w:pPr>
        <w:ind w:firstLine="0" w:firstLineChars="0"/>
        <w:rPr>
          <w:rFonts w:eastAsia="宋体" w:cs="Times New Roman"/>
        </w:rPr>
      </w:pPr>
      <w:r>
        <w:drawing>
          <wp:inline distT="0" distB="0" distL="0" distR="0">
            <wp:extent cx="5363210" cy="3213100"/>
            <wp:effectExtent l="0" t="0" r="889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5356082" cy="3208690"/>
                    </a:xfrm>
                    <a:prstGeom prst="rect">
                      <a:avLst/>
                    </a:prstGeom>
                  </pic:spPr>
                </pic:pic>
              </a:graphicData>
            </a:graphic>
          </wp:inline>
        </w:drawing>
      </w:r>
    </w:p>
    <w:p>
      <w:pPr>
        <w:ind w:firstLine="0" w:firstLineChars="0"/>
        <w:rPr>
          <w:rFonts w:eastAsia="宋体" w:cs="Times New Roman"/>
        </w:rPr>
      </w:pPr>
      <w:r>
        <w:rPr>
          <w:rFonts w:eastAsia="宋体" w:cs="Times New Roman"/>
        </w:rPr>
        <w:drawing>
          <wp:inline distT="0" distB="0" distL="0" distR="0">
            <wp:extent cx="5274310" cy="4089400"/>
            <wp:effectExtent l="0" t="0" r="2540" b="635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74310" cy="4089400"/>
                    </a:xfrm>
                    <a:prstGeom prst="rect">
                      <a:avLst/>
                    </a:prstGeom>
                  </pic:spPr>
                </pic:pic>
              </a:graphicData>
            </a:graphic>
          </wp:inline>
        </w:drawing>
      </w:r>
      <w:r>
        <w:rPr>
          <w:rFonts w:eastAsia="宋体" w:cs="Times New Roman"/>
        </w:rPr>
        <w:drawing>
          <wp:inline distT="0" distB="0" distL="0" distR="0">
            <wp:extent cx="5274310" cy="3318510"/>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274310" cy="3318510"/>
                    </a:xfrm>
                    <a:prstGeom prst="rect">
                      <a:avLst/>
                    </a:prstGeom>
                  </pic:spPr>
                </pic:pic>
              </a:graphicData>
            </a:graphic>
          </wp:inline>
        </w:drawing>
      </w:r>
      <w:r>
        <w:rPr>
          <w:rFonts w:eastAsia="宋体" w:cs="Times New Roman"/>
        </w:rPr>
        <w:drawing>
          <wp:inline distT="0" distB="0" distL="0" distR="0">
            <wp:extent cx="5274310" cy="3214370"/>
            <wp:effectExtent l="0" t="0" r="254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274310" cy="3214370"/>
                    </a:xfrm>
                    <a:prstGeom prst="rect">
                      <a:avLst/>
                    </a:prstGeom>
                  </pic:spPr>
                </pic:pic>
              </a:graphicData>
            </a:graphic>
          </wp:inline>
        </w:drawing>
      </w:r>
    </w:p>
    <w:p>
      <w:pPr>
        <w:ind w:firstLine="0" w:firstLineChars="0"/>
        <w:rPr>
          <w:rFonts w:eastAsia="宋体" w:cs="Times New Roman"/>
        </w:rPr>
        <w:sectPr>
          <w:pgSz w:w="11906" w:h="16838"/>
          <w:pgMar w:top="1440" w:right="1800" w:bottom="1440" w:left="1800" w:header="851" w:footer="992" w:gutter="0"/>
          <w:cols w:space="425" w:num="1"/>
          <w:docGrid w:type="lines" w:linePitch="312" w:charSpace="0"/>
        </w:sectPr>
      </w:pPr>
    </w:p>
    <w:p>
      <w:pPr>
        <w:ind w:firstLine="0" w:firstLineChars="0"/>
        <w:outlineLvl w:val="1"/>
        <w:rPr>
          <w:rFonts w:cs="Times New Roman"/>
        </w:rPr>
      </w:pPr>
      <w:r>
        <w:fldChar w:fldCharType="begin"/>
      </w:r>
      <w:r>
        <w:instrText xml:space="preserve"> HYPERLINK \l "_Toc442284353" </w:instrText>
      </w:r>
      <w:r>
        <w:fldChar w:fldCharType="separate"/>
      </w:r>
      <w:bookmarkStart w:id="154" w:name="_Toc93421945"/>
      <w:bookmarkStart w:id="155" w:name="_Toc93996112"/>
      <w:bookmarkStart w:id="156" w:name="_Toc93913763"/>
      <w:bookmarkStart w:id="157" w:name="_Toc93913640"/>
      <w:bookmarkStart w:id="158" w:name="_Toc97540980"/>
      <w:bookmarkStart w:id="159" w:name="_Toc127266672"/>
      <w:r>
        <w:rPr>
          <w:rFonts w:cs="Times New Roman"/>
        </w:rPr>
        <w:t>附件</w:t>
      </w:r>
      <w:r>
        <w:rPr>
          <w:rFonts w:hint="eastAsia" w:cs="Times New Roman"/>
        </w:rPr>
        <w:t>2</w:t>
      </w:r>
      <w:r>
        <w:rPr>
          <w:rFonts w:cs="Times New Roman"/>
        </w:rPr>
        <w:t>：危险废物处置</w:t>
      </w:r>
      <w:bookmarkEnd w:id="154"/>
      <w:bookmarkEnd w:id="155"/>
      <w:bookmarkEnd w:id="156"/>
      <w:bookmarkEnd w:id="157"/>
      <w:r>
        <w:rPr>
          <w:rFonts w:hint="eastAsia" w:cs="Times New Roman"/>
        </w:rPr>
        <w:t>单位资质及转移联单</w:t>
      </w:r>
      <w:bookmarkEnd w:id="158"/>
      <w:bookmarkEnd w:id="159"/>
      <w:r>
        <w:rPr>
          <w:rFonts w:hint="eastAsia" w:cs="Times New Roman"/>
        </w:rPr>
        <w:fldChar w:fldCharType="end"/>
      </w:r>
    </w:p>
    <w:p>
      <w:pPr>
        <w:numPr>
          <w:ilvl w:val="0"/>
          <w:numId w:val="1"/>
        </w:numPr>
        <w:adjustRightInd w:val="0"/>
        <w:snapToGrid w:val="0"/>
        <w:ind w:firstLine="0" w:firstLineChars="0"/>
        <w:rPr>
          <w:rFonts w:cs="Times New Roman"/>
          <w:kern w:val="0"/>
          <w:szCs w:val="21"/>
        </w:rPr>
      </w:pPr>
      <w:r>
        <w:rPr>
          <w:rFonts w:hint="eastAsia" w:cs="Times New Roman"/>
          <w:kern w:val="0"/>
          <w:szCs w:val="21"/>
        </w:rPr>
        <w:t>废润滑油</w:t>
      </w:r>
    </w:p>
    <w:p>
      <w:pPr>
        <w:adjustRightInd w:val="0"/>
        <w:snapToGrid w:val="0"/>
        <w:ind w:firstLine="0" w:firstLineChars="0"/>
        <w:jc w:val="center"/>
        <w:rPr>
          <w:rFonts w:cs="Times New Roman"/>
          <w:kern w:val="0"/>
          <w:szCs w:val="21"/>
        </w:rPr>
      </w:pPr>
      <w:r>
        <w:rPr>
          <w:rFonts w:hint="eastAsia" w:cs="Times New Roman"/>
          <w:kern w:val="0"/>
          <w:szCs w:val="21"/>
        </w:rPr>
        <w:drawing>
          <wp:inline distT="0" distB="0" distL="114300" distR="114300">
            <wp:extent cx="7553325" cy="5342890"/>
            <wp:effectExtent l="0" t="0" r="6350" b="5715"/>
            <wp:docPr id="3" name="图片 3" descr="微信图片_2023030718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0307185615"/>
                    <pic:cNvPicPr>
                      <a:picLocks noChangeAspect="1"/>
                    </pic:cNvPicPr>
                  </pic:nvPicPr>
                  <pic:blipFill>
                    <a:blip r:embed="rId25"/>
                    <a:stretch>
                      <a:fillRect/>
                    </a:stretch>
                  </pic:blipFill>
                  <pic:spPr>
                    <a:xfrm rot="16200000">
                      <a:off x="0" y="0"/>
                      <a:ext cx="7553325" cy="5342890"/>
                    </a:xfrm>
                    <a:prstGeom prst="rect">
                      <a:avLst/>
                    </a:prstGeom>
                  </pic:spPr>
                </pic:pic>
              </a:graphicData>
            </a:graphic>
          </wp:inline>
        </w:drawing>
      </w:r>
    </w:p>
    <w:p>
      <w:pPr>
        <w:adjustRightInd w:val="0"/>
        <w:snapToGrid w:val="0"/>
        <w:ind w:firstLine="0" w:firstLineChars="0"/>
        <w:rPr>
          <w:rFonts w:cs="Times New Roman"/>
          <w:kern w:val="0"/>
          <w:szCs w:val="21"/>
        </w:rPr>
      </w:pPr>
      <w:r>
        <w:rPr>
          <w:rFonts w:cs="Times New Roman"/>
          <w:kern w:val="0"/>
          <w:szCs w:val="21"/>
        </w:rPr>
        <w:drawing>
          <wp:inline distT="0" distB="0" distL="0" distR="0">
            <wp:extent cx="5274310" cy="7499985"/>
            <wp:effectExtent l="0" t="0" r="13970" b="133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6"/>
                    <a:stretch>
                      <a:fillRect/>
                    </a:stretch>
                  </pic:blipFill>
                  <pic:spPr>
                    <a:xfrm>
                      <a:off x="0" y="0"/>
                      <a:ext cx="5274310" cy="7499985"/>
                    </a:xfrm>
                    <a:prstGeom prst="rect">
                      <a:avLst/>
                    </a:prstGeom>
                  </pic:spPr>
                </pic:pic>
              </a:graphicData>
            </a:graphic>
          </wp:inline>
        </w:drawing>
      </w:r>
    </w:p>
    <w:p>
      <w:pPr>
        <w:adjustRightInd w:val="0"/>
        <w:snapToGrid w:val="0"/>
        <w:ind w:firstLine="0" w:firstLineChars="0"/>
        <w:rPr>
          <w:rFonts w:cs="Times New Roman"/>
          <w:kern w:val="0"/>
          <w:szCs w:val="21"/>
        </w:rPr>
      </w:pPr>
      <w:r>
        <w:rPr>
          <w:szCs w:val="24"/>
        </w:rPr>
        <w:drawing>
          <wp:inline distT="0" distB="0" distL="0" distR="0">
            <wp:extent cx="5274310" cy="7499985"/>
            <wp:effectExtent l="0" t="0" r="254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7"/>
                    <a:stretch>
                      <a:fillRect/>
                    </a:stretch>
                  </pic:blipFill>
                  <pic:spPr>
                    <a:xfrm>
                      <a:off x="0" y="0"/>
                      <a:ext cx="5274310" cy="7499985"/>
                    </a:xfrm>
                    <a:prstGeom prst="rect">
                      <a:avLst/>
                    </a:prstGeom>
                  </pic:spPr>
                </pic:pic>
              </a:graphicData>
            </a:graphic>
          </wp:inline>
        </w:drawing>
      </w:r>
    </w:p>
    <w:p>
      <w:pPr>
        <w:adjustRightInd w:val="0"/>
        <w:snapToGrid w:val="0"/>
        <w:ind w:firstLine="0" w:firstLineChars="0"/>
        <w:rPr>
          <w:rFonts w:cs="Times New Roman"/>
          <w:kern w:val="0"/>
          <w:szCs w:val="21"/>
        </w:rPr>
      </w:pPr>
      <w:r>
        <w:rPr>
          <w:rFonts w:cs="Times New Roman"/>
          <w:kern w:val="0"/>
          <w:szCs w:val="21"/>
        </w:rPr>
        <w:drawing>
          <wp:inline distT="0" distB="0" distL="0" distR="0">
            <wp:extent cx="5274310" cy="7463155"/>
            <wp:effectExtent l="0" t="0" r="2540" b="444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8"/>
                    <a:stretch>
                      <a:fillRect/>
                    </a:stretch>
                  </pic:blipFill>
                  <pic:spPr>
                    <a:xfrm>
                      <a:off x="0" y="0"/>
                      <a:ext cx="5274310" cy="7463155"/>
                    </a:xfrm>
                    <a:prstGeom prst="rect">
                      <a:avLst/>
                    </a:prstGeom>
                  </pic:spPr>
                </pic:pic>
              </a:graphicData>
            </a:graphic>
          </wp:inline>
        </w:drawing>
      </w:r>
      <w:r>
        <w:rPr>
          <w:rFonts w:cs="Times New Roman"/>
          <w:kern w:val="0"/>
          <w:szCs w:val="21"/>
        </w:rPr>
        <w:drawing>
          <wp:inline distT="0" distB="0" distL="0" distR="0">
            <wp:extent cx="5274310" cy="7463155"/>
            <wp:effectExtent l="0" t="0" r="2540" b="44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9"/>
                    <a:stretch>
                      <a:fillRect/>
                    </a:stretch>
                  </pic:blipFill>
                  <pic:spPr>
                    <a:xfrm>
                      <a:off x="0" y="0"/>
                      <a:ext cx="5274310" cy="7463155"/>
                    </a:xfrm>
                    <a:prstGeom prst="rect">
                      <a:avLst/>
                    </a:prstGeom>
                  </pic:spPr>
                </pic:pic>
              </a:graphicData>
            </a:graphic>
          </wp:inline>
        </w:drawing>
      </w:r>
    </w:p>
    <w:p>
      <w:pPr>
        <w:adjustRightInd w:val="0"/>
        <w:snapToGrid w:val="0"/>
        <w:ind w:firstLine="0" w:firstLineChars="0"/>
        <w:rPr>
          <w:rFonts w:cs="Times New Roman"/>
          <w:kern w:val="0"/>
          <w:szCs w:val="21"/>
        </w:rPr>
        <w:sectPr>
          <w:pgSz w:w="11906" w:h="16838"/>
          <w:pgMar w:top="1440" w:right="1800" w:bottom="1440" w:left="1800" w:header="851" w:footer="992" w:gutter="0"/>
          <w:cols w:space="425" w:num="1"/>
          <w:docGrid w:type="lines" w:linePitch="312" w:charSpace="0"/>
        </w:sectPr>
      </w:pPr>
    </w:p>
    <w:p>
      <w:pPr>
        <w:numPr>
          <w:ilvl w:val="0"/>
          <w:numId w:val="1"/>
        </w:numPr>
        <w:adjustRightInd w:val="0"/>
        <w:snapToGrid w:val="0"/>
        <w:ind w:firstLine="0" w:firstLineChars="0"/>
        <w:rPr>
          <w:rFonts w:cs="Times New Roman"/>
          <w:kern w:val="0"/>
          <w:szCs w:val="21"/>
        </w:rPr>
      </w:pPr>
      <w:r>
        <w:rPr>
          <w:rFonts w:hint="eastAsia" w:cs="Times New Roman"/>
          <w:kern w:val="0"/>
          <w:szCs w:val="21"/>
        </w:rPr>
        <w:t>废齿轮油</w:t>
      </w:r>
    </w:p>
    <w:p>
      <w:pPr>
        <w:adjustRightInd w:val="0"/>
        <w:snapToGrid w:val="0"/>
        <w:ind w:firstLine="0" w:firstLineChars="0"/>
        <w:jc w:val="center"/>
        <w:rPr>
          <w:rFonts w:cs="Times New Roman"/>
          <w:kern w:val="0"/>
          <w:szCs w:val="21"/>
        </w:rPr>
      </w:pPr>
      <w:r>
        <w:rPr>
          <w:rFonts w:hint="eastAsia" w:cs="Times New Roman"/>
          <w:kern w:val="0"/>
          <w:szCs w:val="21"/>
        </w:rPr>
        <w:drawing>
          <wp:inline distT="0" distB="0" distL="114300" distR="114300">
            <wp:extent cx="8166735" cy="5360670"/>
            <wp:effectExtent l="0" t="0" r="3810" b="1905"/>
            <wp:docPr id="4" name="图片 4" descr="微信图片_2023030718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307185614"/>
                    <pic:cNvPicPr>
                      <a:picLocks noChangeAspect="1"/>
                    </pic:cNvPicPr>
                  </pic:nvPicPr>
                  <pic:blipFill>
                    <a:blip r:embed="rId30"/>
                    <a:stretch>
                      <a:fillRect/>
                    </a:stretch>
                  </pic:blipFill>
                  <pic:spPr>
                    <a:xfrm rot="16200000">
                      <a:off x="0" y="0"/>
                      <a:ext cx="8166735" cy="5360670"/>
                    </a:xfrm>
                    <a:prstGeom prst="rect">
                      <a:avLst/>
                    </a:prstGeom>
                  </pic:spPr>
                </pic:pic>
              </a:graphicData>
            </a:graphic>
          </wp:inline>
        </w:drawing>
      </w:r>
    </w:p>
    <w:p>
      <w:pPr>
        <w:spacing w:line="240" w:lineRule="auto"/>
        <w:ind w:firstLine="0" w:firstLineChars="0"/>
        <w:jc w:val="center"/>
        <w:rPr>
          <w:szCs w:val="24"/>
        </w:rPr>
      </w:pPr>
    </w:p>
    <w:p>
      <w:pPr>
        <w:spacing w:line="240" w:lineRule="auto"/>
        <w:ind w:firstLine="0" w:firstLineChars="0"/>
        <w:jc w:val="center"/>
        <w:rPr>
          <w:szCs w:val="24"/>
        </w:rPr>
      </w:pPr>
      <w:r>
        <w:rPr>
          <w:szCs w:val="24"/>
        </w:rPr>
        <w:drawing>
          <wp:inline distT="0" distB="0" distL="0" distR="0">
            <wp:extent cx="5274310" cy="7499985"/>
            <wp:effectExtent l="0" t="0" r="254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1"/>
                    <a:stretch>
                      <a:fillRect/>
                    </a:stretch>
                  </pic:blipFill>
                  <pic:spPr>
                    <a:xfrm>
                      <a:off x="0" y="0"/>
                      <a:ext cx="5274310" cy="7499985"/>
                    </a:xfrm>
                    <a:prstGeom prst="rect">
                      <a:avLst/>
                    </a:prstGeom>
                  </pic:spPr>
                </pic:pic>
              </a:graphicData>
            </a:graphic>
          </wp:inline>
        </w:drawing>
      </w:r>
      <w:r>
        <w:rPr>
          <w:szCs w:val="24"/>
        </w:rPr>
        <w:drawing>
          <wp:inline distT="0" distB="0" distL="0" distR="0">
            <wp:extent cx="5274310" cy="7499985"/>
            <wp:effectExtent l="0" t="0" r="254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2"/>
                    <a:stretch>
                      <a:fillRect/>
                    </a:stretch>
                  </pic:blipFill>
                  <pic:spPr>
                    <a:xfrm>
                      <a:off x="0" y="0"/>
                      <a:ext cx="5274310" cy="7499985"/>
                    </a:xfrm>
                    <a:prstGeom prst="rect">
                      <a:avLst/>
                    </a:prstGeom>
                  </pic:spPr>
                </pic:pic>
              </a:graphicData>
            </a:graphic>
          </wp:inline>
        </w:drawing>
      </w:r>
      <w:r>
        <w:rPr>
          <w:szCs w:val="24"/>
        </w:rPr>
        <w:drawing>
          <wp:inline distT="0" distB="0" distL="0" distR="0">
            <wp:extent cx="5274310" cy="7499985"/>
            <wp:effectExtent l="0" t="0" r="254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3"/>
                    <a:stretch>
                      <a:fillRect/>
                    </a:stretch>
                  </pic:blipFill>
                  <pic:spPr>
                    <a:xfrm>
                      <a:off x="0" y="0"/>
                      <a:ext cx="5274310" cy="7499985"/>
                    </a:xfrm>
                    <a:prstGeom prst="rect">
                      <a:avLst/>
                    </a:prstGeom>
                  </pic:spPr>
                </pic:pic>
              </a:graphicData>
            </a:graphic>
          </wp:inline>
        </w:drawing>
      </w:r>
      <w:r>
        <w:rPr>
          <w:szCs w:val="24"/>
        </w:rPr>
        <w:drawing>
          <wp:inline distT="0" distB="0" distL="0" distR="0">
            <wp:extent cx="5274310" cy="7499985"/>
            <wp:effectExtent l="0" t="0" r="2540"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4"/>
                    <a:stretch>
                      <a:fillRect/>
                    </a:stretch>
                  </pic:blipFill>
                  <pic:spPr>
                    <a:xfrm>
                      <a:off x="0" y="0"/>
                      <a:ext cx="5274310" cy="7499985"/>
                    </a:xfrm>
                    <a:prstGeom prst="rect">
                      <a:avLst/>
                    </a:prstGeom>
                  </pic:spPr>
                </pic:pic>
              </a:graphicData>
            </a:graphic>
          </wp:inline>
        </w:drawing>
      </w:r>
    </w:p>
    <w:p>
      <w:pPr>
        <w:spacing w:line="240" w:lineRule="auto"/>
        <w:ind w:firstLine="0" w:firstLineChars="0"/>
        <w:jc w:val="center"/>
        <w:rPr>
          <w:szCs w:val="24"/>
        </w:rPr>
      </w:pPr>
      <w:r>
        <w:rPr>
          <w:rFonts w:cs="Times New Roman"/>
          <w:kern w:val="0"/>
          <w:szCs w:val="21"/>
        </w:rPr>
        <w:drawing>
          <wp:inline distT="0" distB="0" distL="0" distR="0">
            <wp:extent cx="5274310" cy="7499985"/>
            <wp:effectExtent l="0" t="0" r="254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5"/>
                    <a:stretch>
                      <a:fillRect/>
                    </a:stretch>
                  </pic:blipFill>
                  <pic:spPr>
                    <a:xfrm>
                      <a:off x="0" y="0"/>
                      <a:ext cx="5274310" cy="7499985"/>
                    </a:xfrm>
                    <a:prstGeom prst="rect">
                      <a:avLst/>
                    </a:prstGeom>
                  </pic:spPr>
                </pic:pic>
              </a:graphicData>
            </a:graphic>
          </wp:inline>
        </w:drawing>
      </w:r>
    </w:p>
    <w:p>
      <w:pPr>
        <w:spacing w:line="240" w:lineRule="auto"/>
        <w:ind w:firstLine="0" w:firstLineChars="0"/>
        <w:jc w:val="center"/>
        <w:rPr>
          <w:szCs w:val="24"/>
        </w:rPr>
      </w:pPr>
    </w:p>
    <w:p>
      <w:pPr>
        <w:spacing w:line="240" w:lineRule="auto"/>
        <w:ind w:firstLine="0" w:firstLineChars="0"/>
        <w:jc w:val="center"/>
        <w:rPr>
          <w:szCs w:val="24"/>
        </w:rPr>
      </w:pPr>
    </w:p>
    <w:p>
      <w:pPr>
        <w:spacing w:line="240" w:lineRule="auto"/>
        <w:ind w:firstLine="0" w:firstLineChars="0"/>
        <w:jc w:val="center"/>
        <w:rPr>
          <w:szCs w:val="24"/>
        </w:rPr>
      </w:pPr>
    </w:p>
    <w:p>
      <w:pPr>
        <w:spacing w:line="240" w:lineRule="auto"/>
        <w:ind w:firstLine="0" w:firstLineChars="0"/>
        <w:jc w:val="center"/>
        <w:rPr>
          <w:szCs w:val="24"/>
        </w:rPr>
      </w:pPr>
    </w:p>
    <w:p>
      <w:pPr>
        <w:spacing w:line="240" w:lineRule="auto"/>
        <w:ind w:firstLine="0" w:firstLineChars="0"/>
        <w:rPr>
          <w:szCs w:val="24"/>
        </w:rPr>
        <w:sectPr>
          <w:pgSz w:w="11906" w:h="16838"/>
          <w:pgMar w:top="1440" w:right="1800" w:bottom="1440" w:left="1800" w:header="851" w:footer="992" w:gutter="0"/>
          <w:cols w:space="425" w:num="1"/>
          <w:docGrid w:type="lines" w:linePitch="312" w:charSpace="0"/>
        </w:sectPr>
      </w:pPr>
    </w:p>
    <w:p>
      <w:pPr>
        <w:numPr>
          <w:ilvl w:val="0"/>
          <w:numId w:val="1"/>
        </w:numPr>
        <w:spacing w:line="240" w:lineRule="auto"/>
        <w:ind w:firstLine="0" w:firstLineChars="0"/>
        <w:rPr>
          <w:szCs w:val="24"/>
        </w:rPr>
      </w:pPr>
      <w:r>
        <w:rPr>
          <w:rFonts w:hint="eastAsia"/>
          <w:szCs w:val="24"/>
        </w:rPr>
        <w:t>废油桶</w:t>
      </w:r>
    </w:p>
    <w:p>
      <w:pPr>
        <w:spacing w:line="240" w:lineRule="auto"/>
        <w:ind w:firstLine="0" w:firstLineChars="0"/>
        <w:rPr>
          <w:szCs w:val="24"/>
        </w:rPr>
      </w:pPr>
      <w:r>
        <w:rPr>
          <w:rFonts w:hint="eastAsia" w:cs="Times New Roman"/>
          <w:kern w:val="0"/>
          <w:szCs w:val="21"/>
        </w:rPr>
        <w:drawing>
          <wp:inline distT="0" distB="0" distL="114300" distR="114300">
            <wp:extent cx="8166735" cy="5360670"/>
            <wp:effectExtent l="0" t="0" r="3810" b="1905"/>
            <wp:docPr id="5" name="图片 5" descr="微信图片_2023030718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0307185614"/>
                    <pic:cNvPicPr>
                      <a:picLocks noChangeAspect="1"/>
                    </pic:cNvPicPr>
                  </pic:nvPicPr>
                  <pic:blipFill>
                    <a:blip r:embed="rId30"/>
                    <a:stretch>
                      <a:fillRect/>
                    </a:stretch>
                  </pic:blipFill>
                  <pic:spPr>
                    <a:xfrm rot="16200000">
                      <a:off x="0" y="0"/>
                      <a:ext cx="8166735" cy="5360670"/>
                    </a:xfrm>
                    <a:prstGeom prst="rect">
                      <a:avLst/>
                    </a:prstGeom>
                  </pic:spPr>
                </pic:pic>
              </a:graphicData>
            </a:graphic>
          </wp:inline>
        </w:drawing>
      </w:r>
    </w:p>
    <w:p>
      <w:pPr>
        <w:adjustRightInd w:val="0"/>
        <w:snapToGrid w:val="0"/>
        <w:ind w:firstLine="0" w:firstLineChars="0"/>
        <w:jc w:val="center"/>
        <w:rPr>
          <w:rFonts w:cs="Times New Roman"/>
          <w:kern w:val="0"/>
          <w:szCs w:val="21"/>
        </w:rPr>
      </w:pPr>
    </w:p>
    <w:p>
      <w:pPr>
        <w:adjustRightInd w:val="0"/>
        <w:snapToGrid w:val="0"/>
        <w:ind w:firstLine="0" w:firstLineChars="0"/>
        <w:jc w:val="center"/>
        <w:rPr>
          <w:rFonts w:cs="Times New Roman"/>
          <w:kern w:val="0"/>
          <w:szCs w:val="21"/>
        </w:rPr>
      </w:pPr>
      <w:r>
        <w:rPr>
          <w:szCs w:val="24"/>
        </w:rPr>
        <w:drawing>
          <wp:inline distT="0" distB="0" distL="0" distR="0">
            <wp:extent cx="5274310" cy="7499985"/>
            <wp:effectExtent l="0" t="0" r="254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6"/>
                    <a:stretch>
                      <a:fillRect/>
                    </a:stretch>
                  </pic:blipFill>
                  <pic:spPr>
                    <a:xfrm>
                      <a:off x="0" y="0"/>
                      <a:ext cx="5274310" cy="7499985"/>
                    </a:xfrm>
                    <a:prstGeom prst="rect">
                      <a:avLst/>
                    </a:prstGeom>
                  </pic:spPr>
                </pic:pic>
              </a:graphicData>
            </a:graphic>
          </wp:inline>
        </w:drawing>
      </w:r>
    </w:p>
    <w:p>
      <w:pPr>
        <w:adjustRightInd w:val="0"/>
        <w:snapToGrid w:val="0"/>
        <w:ind w:firstLine="0" w:firstLineChars="0"/>
        <w:jc w:val="center"/>
        <w:rPr>
          <w:rFonts w:cs="Times New Roman"/>
          <w:kern w:val="0"/>
          <w:szCs w:val="21"/>
        </w:rPr>
      </w:pPr>
      <w:r>
        <w:rPr>
          <w:szCs w:val="24"/>
        </w:rPr>
        <w:drawing>
          <wp:inline distT="0" distB="0" distL="0" distR="0">
            <wp:extent cx="5274310" cy="7499985"/>
            <wp:effectExtent l="0" t="0" r="254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7"/>
                    <a:stretch>
                      <a:fillRect/>
                    </a:stretch>
                  </pic:blipFill>
                  <pic:spPr>
                    <a:xfrm>
                      <a:off x="0" y="0"/>
                      <a:ext cx="5274310" cy="7499985"/>
                    </a:xfrm>
                    <a:prstGeom prst="rect">
                      <a:avLst/>
                    </a:prstGeom>
                  </pic:spPr>
                </pic:pic>
              </a:graphicData>
            </a:graphic>
          </wp:inline>
        </w:drawing>
      </w:r>
    </w:p>
    <w:p>
      <w:pPr>
        <w:adjustRightInd w:val="0"/>
        <w:snapToGrid w:val="0"/>
        <w:ind w:firstLine="0" w:firstLineChars="0"/>
        <w:jc w:val="center"/>
        <w:rPr>
          <w:rFonts w:cs="Times New Roman"/>
          <w:kern w:val="0"/>
          <w:szCs w:val="21"/>
        </w:rPr>
      </w:pPr>
      <w:r>
        <w:rPr>
          <w:szCs w:val="24"/>
        </w:rPr>
        <w:drawing>
          <wp:inline distT="0" distB="0" distL="0" distR="0">
            <wp:extent cx="5274310" cy="7499985"/>
            <wp:effectExtent l="0" t="0" r="2540" b="571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8"/>
                    <a:stretch>
                      <a:fillRect/>
                    </a:stretch>
                  </pic:blipFill>
                  <pic:spPr>
                    <a:xfrm>
                      <a:off x="0" y="0"/>
                      <a:ext cx="5274310" cy="7499985"/>
                    </a:xfrm>
                    <a:prstGeom prst="rect">
                      <a:avLst/>
                    </a:prstGeom>
                  </pic:spPr>
                </pic:pic>
              </a:graphicData>
            </a:graphic>
          </wp:inline>
        </w:drawing>
      </w:r>
    </w:p>
    <w:p>
      <w:pPr>
        <w:adjustRightInd w:val="0"/>
        <w:snapToGrid w:val="0"/>
        <w:ind w:firstLine="0" w:firstLineChars="0"/>
        <w:jc w:val="center"/>
        <w:rPr>
          <w:rFonts w:cs="Times New Roman"/>
          <w:kern w:val="0"/>
          <w:szCs w:val="21"/>
        </w:rPr>
      </w:pPr>
      <w:r>
        <w:rPr>
          <w:szCs w:val="24"/>
        </w:rPr>
        <w:drawing>
          <wp:inline distT="0" distB="0" distL="0" distR="0">
            <wp:extent cx="5274310" cy="7499985"/>
            <wp:effectExtent l="0" t="0" r="2540"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9"/>
                    <a:stretch>
                      <a:fillRect/>
                    </a:stretch>
                  </pic:blipFill>
                  <pic:spPr>
                    <a:xfrm>
                      <a:off x="0" y="0"/>
                      <a:ext cx="5274310" cy="7499985"/>
                    </a:xfrm>
                    <a:prstGeom prst="rect">
                      <a:avLst/>
                    </a:prstGeom>
                  </pic:spPr>
                </pic:pic>
              </a:graphicData>
            </a:graphic>
          </wp:inline>
        </w:drawing>
      </w:r>
    </w:p>
    <w:p>
      <w:pPr>
        <w:adjustRightInd w:val="0"/>
        <w:snapToGrid w:val="0"/>
        <w:ind w:firstLine="0" w:firstLineChars="0"/>
        <w:jc w:val="center"/>
        <w:rPr>
          <w:rFonts w:cs="Times New Roman"/>
          <w:kern w:val="0"/>
          <w:szCs w:val="21"/>
        </w:rPr>
      </w:pPr>
      <w:r>
        <w:rPr>
          <w:rFonts w:cs="Times New Roman"/>
          <w:kern w:val="0"/>
          <w:szCs w:val="21"/>
        </w:rPr>
        <w:drawing>
          <wp:inline distT="0" distB="0" distL="0" distR="0">
            <wp:extent cx="5274310" cy="74999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a:stretch>
                      <a:fillRect/>
                    </a:stretch>
                  </pic:blipFill>
                  <pic:spPr>
                    <a:xfrm>
                      <a:off x="0" y="0"/>
                      <a:ext cx="5274310" cy="7499985"/>
                    </a:xfrm>
                    <a:prstGeom prst="rect">
                      <a:avLst/>
                    </a:prstGeom>
                  </pic:spPr>
                </pic:pic>
              </a:graphicData>
            </a:graphic>
          </wp:inline>
        </w:drawing>
      </w:r>
    </w:p>
    <w:p>
      <w:pPr>
        <w:adjustRightInd w:val="0"/>
        <w:snapToGrid w:val="0"/>
        <w:ind w:firstLine="0" w:firstLineChars="0"/>
        <w:jc w:val="center"/>
        <w:rPr>
          <w:rFonts w:cs="Times New Roman"/>
          <w:kern w:val="0"/>
          <w:szCs w:val="21"/>
        </w:rPr>
      </w:pPr>
    </w:p>
    <w:p>
      <w:pPr>
        <w:adjustRightInd w:val="0"/>
        <w:snapToGrid w:val="0"/>
        <w:ind w:firstLine="0" w:firstLineChars="0"/>
        <w:jc w:val="center"/>
        <w:rPr>
          <w:rFonts w:cs="Times New Roman"/>
          <w:kern w:val="0"/>
          <w:szCs w:val="21"/>
        </w:rPr>
      </w:pPr>
    </w:p>
    <w:p>
      <w:pPr>
        <w:adjustRightInd w:val="0"/>
        <w:snapToGrid w:val="0"/>
        <w:ind w:firstLine="0" w:firstLineChars="0"/>
        <w:jc w:val="center"/>
        <w:rPr>
          <w:rFonts w:cs="Times New Roman"/>
          <w:kern w:val="0"/>
          <w:szCs w:val="21"/>
        </w:rPr>
      </w:pPr>
    </w:p>
    <w:p>
      <w:pPr>
        <w:adjustRightInd w:val="0"/>
        <w:snapToGrid w:val="0"/>
        <w:ind w:firstLine="0" w:firstLineChars="0"/>
        <w:rPr>
          <w:rFonts w:cs="Times New Roman"/>
          <w:kern w:val="0"/>
          <w:szCs w:val="21"/>
        </w:rPr>
      </w:pPr>
    </w:p>
    <w:p>
      <w:pPr>
        <w:adjustRightInd w:val="0"/>
        <w:snapToGrid w:val="0"/>
        <w:ind w:firstLine="0" w:firstLineChars="0"/>
        <w:rPr>
          <w:szCs w:val="24"/>
        </w:rPr>
        <w:sectPr>
          <w:pgSz w:w="11906" w:h="16838"/>
          <w:pgMar w:top="1440" w:right="1800" w:bottom="1440" w:left="1800" w:header="851" w:footer="992" w:gutter="0"/>
          <w:cols w:space="425" w:num="1"/>
          <w:docGrid w:type="lines" w:linePitch="312" w:charSpace="0"/>
        </w:sectPr>
      </w:pPr>
    </w:p>
    <w:p>
      <w:pPr>
        <w:numPr>
          <w:ilvl w:val="0"/>
          <w:numId w:val="1"/>
        </w:numPr>
        <w:adjustRightInd w:val="0"/>
        <w:snapToGrid w:val="0"/>
        <w:ind w:firstLine="0" w:firstLineChars="0"/>
        <w:rPr>
          <w:szCs w:val="24"/>
        </w:rPr>
      </w:pPr>
      <w:r>
        <w:rPr>
          <w:szCs w:val="24"/>
        </w:rPr>
        <w:drawing>
          <wp:anchor distT="0" distB="0" distL="114300" distR="114300" simplePos="0" relativeHeight="251661312" behindDoc="0" locked="0" layoutInCell="1" allowOverlap="1">
            <wp:simplePos x="0" y="0"/>
            <wp:positionH relativeFrom="column">
              <wp:posOffset>98425</wp:posOffset>
            </wp:positionH>
            <wp:positionV relativeFrom="paragraph">
              <wp:posOffset>7414895</wp:posOffset>
            </wp:positionV>
            <wp:extent cx="5285105" cy="205105"/>
            <wp:effectExtent l="0" t="0" r="0" b="4445"/>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preferRelativeResize="0">
                      <a:picLocks noChangeAspect="1"/>
                    </pic:cNvPicPr>
                  </pic:nvPicPr>
                  <pic:blipFill>
                    <a:blip r:embed="rId41"/>
                    <a:srcRect t="3690" b="93586"/>
                    <a:stretch>
                      <a:fillRect/>
                    </a:stretch>
                  </pic:blipFill>
                  <pic:spPr>
                    <a:xfrm>
                      <a:off x="0" y="0"/>
                      <a:ext cx="5284800" cy="205200"/>
                    </a:xfrm>
                    <a:prstGeom prst="rect">
                      <a:avLst/>
                    </a:prstGeom>
                    <a:ln>
                      <a:noFill/>
                    </a:ln>
                  </pic:spPr>
                </pic:pic>
              </a:graphicData>
            </a:graphic>
          </wp:anchor>
        </w:drawing>
      </w:r>
      <w:r>
        <w:rPr>
          <w:rFonts w:hint="eastAsia"/>
          <w:szCs w:val="24"/>
        </w:rPr>
        <w:t>废油漆桶</w:t>
      </w:r>
    </w:p>
    <w:p>
      <w:pPr>
        <w:adjustRightInd w:val="0"/>
        <w:snapToGrid w:val="0"/>
        <w:ind w:firstLine="0" w:firstLineChars="0"/>
        <w:rPr>
          <w:szCs w:val="24"/>
        </w:rPr>
      </w:pPr>
      <w:r>
        <w:rPr>
          <w:rFonts w:hint="eastAsia" w:cs="Times New Roman"/>
          <w:kern w:val="0"/>
          <w:szCs w:val="21"/>
        </w:rPr>
        <w:drawing>
          <wp:inline distT="0" distB="0" distL="114300" distR="114300">
            <wp:extent cx="8166735" cy="5360670"/>
            <wp:effectExtent l="0" t="0" r="3810" b="1905"/>
            <wp:docPr id="6" name="图片 6" descr="微信图片_2023030718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0307185614"/>
                    <pic:cNvPicPr>
                      <a:picLocks noChangeAspect="1"/>
                    </pic:cNvPicPr>
                  </pic:nvPicPr>
                  <pic:blipFill>
                    <a:blip r:embed="rId30"/>
                    <a:stretch>
                      <a:fillRect/>
                    </a:stretch>
                  </pic:blipFill>
                  <pic:spPr>
                    <a:xfrm rot="16200000">
                      <a:off x="0" y="0"/>
                      <a:ext cx="8166735" cy="5360670"/>
                    </a:xfrm>
                    <a:prstGeom prst="rect">
                      <a:avLst/>
                    </a:prstGeom>
                  </pic:spPr>
                </pic:pic>
              </a:graphicData>
            </a:graphic>
          </wp:inline>
        </w:drawing>
      </w:r>
    </w:p>
    <w:p>
      <w:pPr>
        <w:adjustRightInd w:val="0"/>
        <w:snapToGrid w:val="0"/>
        <w:ind w:firstLine="0" w:firstLineChars="0"/>
        <w:rPr>
          <w:rFonts w:cs="Times New Roman"/>
          <w:kern w:val="0"/>
          <w:szCs w:val="21"/>
        </w:rPr>
      </w:pPr>
      <w:r>
        <w:rPr>
          <w:szCs w:val="24"/>
        </w:rPr>
        <w:drawing>
          <wp:inline distT="0" distB="0" distL="0" distR="0">
            <wp:extent cx="5273675" cy="7498715"/>
            <wp:effectExtent l="76200" t="57150" r="79375" b="450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2"/>
                    <a:stretch>
                      <a:fillRect/>
                    </a:stretch>
                  </pic:blipFill>
                  <pic:spPr>
                    <a:xfrm rot="60000">
                      <a:off x="0" y="0"/>
                      <a:ext cx="5274000" cy="7498800"/>
                    </a:xfrm>
                    <a:prstGeom prst="rect">
                      <a:avLst/>
                    </a:prstGeom>
                  </pic:spPr>
                </pic:pic>
              </a:graphicData>
            </a:graphic>
          </wp:inline>
        </w:drawing>
      </w:r>
    </w:p>
    <w:p>
      <w:pPr>
        <w:adjustRightInd w:val="0"/>
        <w:snapToGrid w:val="0"/>
        <w:ind w:firstLine="0" w:firstLineChars="0"/>
        <w:rPr>
          <w:rFonts w:cs="Times New Roman"/>
          <w:kern w:val="0"/>
          <w:szCs w:val="21"/>
        </w:rPr>
      </w:pPr>
    </w:p>
    <w:p>
      <w:pPr>
        <w:adjustRightInd w:val="0"/>
        <w:snapToGrid w:val="0"/>
        <w:ind w:firstLine="0" w:firstLineChars="0"/>
        <w:rPr>
          <w:rFonts w:cs="Times New Roman"/>
          <w:kern w:val="0"/>
          <w:szCs w:val="21"/>
        </w:rPr>
      </w:pPr>
      <w:r>
        <w:rPr>
          <w:szCs w:val="24"/>
        </w:rPr>
        <w:drawing>
          <wp:inline distT="0" distB="0" distL="0" distR="0">
            <wp:extent cx="5274310" cy="7499985"/>
            <wp:effectExtent l="0" t="0" r="254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3"/>
                    <a:stretch>
                      <a:fillRect/>
                    </a:stretch>
                  </pic:blipFill>
                  <pic:spPr>
                    <a:xfrm>
                      <a:off x="0" y="0"/>
                      <a:ext cx="5274310" cy="7499985"/>
                    </a:xfrm>
                    <a:prstGeom prst="rect">
                      <a:avLst/>
                    </a:prstGeom>
                  </pic:spPr>
                </pic:pic>
              </a:graphicData>
            </a:graphic>
          </wp:inline>
        </w:drawing>
      </w:r>
    </w:p>
    <w:p>
      <w:pPr>
        <w:adjustRightInd w:val="0"/>
        <w:snapToGrid w:val="0"/>
        <w:ind w:firstLine="0" w:firstLineChars="0"/>
        <w:rPr>
          <w:rFonts w:cs="Times New Roman"/>
          <w:kern w:val="0"/>
          <w:szCs w:val="21"/>
        </w:rPr>
      </w:pPr>
      <w:r>
        <w:rPr>
          <w:szCs w:val="24"/>
        </w:rPr>
        <w:drawing>
          <wp:inline distT="0" distB="0" distL="0" distR="0">
            <wp:extent cx="5274310" cy="7499985"/>
            <wp:effectExtent l="0" t="0" r="2540" b="571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4"/>
                    <a:stretch>
                      <a:fillRect/>
                    </a:stretch>
                  </pic:blipFill>
                  <pic:spPr>
                    <a:xfrm>
                      <a:off x="0" y="0"/>
                      <a:ext cx="5274310" cy="7499985"/>
                    </a:xfrm>
                    <a:prstGeom prst="rect">
                      <a:avLst/>
                    </a:prstGeom>
                  </pic:spPr>
                </pic:pic>
              </a:graphicData>
            </a:graphic>
          </wp:inline>
        </w:drawing>
      </w:r>
    </w:p>
    <w:p>
      <w:pPr>
        <w:ind w:firstLine="0" w:firstLineChars="0"/>
        <w:jc w:val="center"/>
        <w:rPr>
          <w:rFonts w:cs="Times New Roman"/>
          <w:kern w:val="0"/>
          <w:szCs w:val="21"/>
        </w:rPr>
      </w:pPr>
      <w:r>
        <w:rPr>
          <w:rFonts w:cs="Times New Roman"/>
          <w:kern w:val="0"/>
          <w:szCs w:val="21"/>
        </w:rPr>
        <w:drawing>
          <wp:inline distT="0" distB="0" distL="0" distR="0">
            <wp:extent cx="5274310" cy="7499985"/>
            <wp:effectExtent l="0" t="0" r="254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5"/>
                    <a:stretch>
                      <a:fillRect/>
                    </a:stretch>
                  </pic:blipFill>
                  <pic:spPr>
                    <a:xfrm>
                      <a:off x="0" y="0"/>
                      <a:ext cx="5274310" cy="7499985"/>
                    </a:xfrm>
                    <a:prstGeom prst="rect">
                      <a:avLst/>
                    </a:prstGeom>
                  </pic:spPr>
                </pic:pic>
              </a:graphicData>
            </a:graphic>
          </wp:inline>
        </w:drawing>
      </w:r>
    </w:p>
    <w:p>
      <w:pPr>
        <w:ind w:firstLine="0" w:firstLineChars="0"/>
        <w:jc w:val="center"/>
        <w:rPr>
          <w:rFonts w:cs="Times New Roman"/>
          <w:kern w:val="0"/>
          <w:szCs w:val="21"/>
        </w:rPr>
      </w:pPr>
    </w:p>
    <w:p>
      <w:pPr>
        <w:ind w:firstLine="0" w:firstLineChars="0"/>
        <w:jc w:val="center"/>
        <w:rPr>
          <w:rFonts w:cs="Times New Roman"/>
          <w:kern w:val="0"/>
          <w:szCs w:val="21"/>
        </w:rPr>
      </w:pPr>
    </w:p>
    <w:p>
      <w:pPr>
        <w:ind w:firstLine="0" w:firstLineChars="0"/>
        <w:jc w:val="center"/>
        <w:rPr>
          <w:rFonts w:cs="Times New Roman"/>
          <w:kern w:val="0"/>
          <w:szCs w:val="21"/>
        </w:rPr>
      </w:pPr>
    </w:p>
    <w:p>
      <w:pPr>
        <w:ind w:firstLine="0" w:firstLineChars="0"/>
        <w:rPr>
          <w:rFonts w:cs="Times New Roman"/>
          <w:kern w:val="0"/>
          <w:szCs w:val="21"/>
        </w:rPr>
        <w:sectPr>
          <w:pgSz w:w="11906" w:h="16838"/>
          <w:pgMar w:top="1440" w:right="1800" w:bottom="1440" w:left="1800" w:header="851" w:footer="992" w:gutter="0"/>
          <w:cols w:space="425" w:num="1"/>
          <w:docGrid w:type="lines" w:linePitch="312" w:charSpace="0"/>
        </w:sectPr>
      </w:pPr>
    </w:p>
    <w:p>
      <w:pPr>
        <w:numPr>
          <w:ilvl w:val="0"/>
          <w:numId w:val="1"/>
        </w:numPr>
        <w:ind w:firstLine="0" w:firstLineChars="0"/>
        <w:rPr>
          <w:rFonts w:cs="Times New Roman"/>
          <w:kern w:val="0"/>
          <w:szCs w:val="21"/>
        </w:rPr>
      </w:pPr>
      <w:r>
        <w:rPr>
          <w:rFonts w:hint="eastAsia" w:cs="Times New Roman"/>
          <w:kern w:val="0"/>
          <w:szCs w:val="21"/>
        </w:rPr>
        <w:t>药剂包装物</w:t>
      </w:r>
    </w:p>
    <w:p>
      <w:pPr>
        <w:ind w:firstLine="0" w:firstLineChars="0"/>
        <w:rPr>
          <w:rFonts w:cs="Times New Roman"/>
          <w:kern w:val="0"/>
          <w:szCs w:val="21"/>
        </w:rPr>
      </w:pPr>
      <w:r>
        <w:rPr>
          <w:rFonts w:hint="eastAsia" w:cs="Times New Roman"/>
          <w:kern w:val="0"/>
          <w:szCs w:val="21"/>
        </w:rPr>
        <w:drawing>
          <wp:inline distT="0" distB="0" distL="114300" distR="114300">
            <wp:extent cx="8166735" cy="5360670"/>
            <wp:effectExtent l="0" t="0" r="3810" b="1905"/>
            <wp:docPr id="9" name="图片 9" descr="微信图片_2023030718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0307185614"/>
                    <pic:cNvPicPr>
                      <a:picLocks noChangeAspect="1"/>
                    </pic:cNvPicPr>
                  </pic:nvPicPr>
                  <pic:blipFill>
                    <a:blip r:embed="rId30"/>
                    <a:stretch>
                      <a:fillRect/>
                    </a:stretch>
                  </pic:blipFill>
                  <pic:spPr>
                    <a:xfrm rot="16200000">
                      <a:off x="0" y="0"/>
                      <a:ext cx="8166735" cy="5360670"/>
                    </a:xfrm>
                    <a:prstGeom prst="rect">
                      <a:avLst/>
                    </a:prstGeom>
                  </pic:spPr>
                </pic:pic>
              </a:graphicData>
            </a:graphic>
          </wp:inline>
        </w:drawing>
      </w:r>
    </w:p>
    <w:p>
      <w:pPr>
        <w:ind w:firstLine="0" w:firstLineChars="0"/>
        <w:rPr>
          <w:rFonts w:cs="Times New Roman"/>
          <w:kern w:val="0"/>
          <w:szCs w:val="21"/>
        </w:rPr>
      </w:pPr>
      <w:r>
        <w:rPr>
          <w:szCs w:val="24"/>
        </w:rPr>
        <w:drawing>
          <wp:inline distT="0" distB="0" distL="0" distR="0">
            <wp:extent cx="5274310" cy="7499985"/>
            <wp:effectExtent l="0" t="0" r="254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6"/>
                    <a:stretch>
                      <a:fillRect/>
                    </a:stretch>
                  </pic:blipFill>
                  <pic:spPr>
                    <a:xfrm>
                      <a:off x="0" y="0"/>
                      <a:ext cx="5274310" cy="7499985"/>
                    </a:xfrm>
                    <a:prstGeom prst="rect">
                      <a:avLst/>
                    </a:prstGeom>
                  </pic:spPr>
                </pic:pic>
              </a:graphicData>
            </a:graphic>
          </wp:inline>
        </w:drawing>
      </w:r>
    </w:p>
    <w:p>
      <w:pPr>
        <w:ind w:firstLine="0" w:firstLineChars="0"/>
        <w:rPr>
          <w:rFonts w:cs="Times New Roman"/>
          <w:kern w:val="0"/>
          <w:szCs w:val="21"/>
        </w:rPr>
      </w:pPr>
      <w:r>
        <w:rPr>
          <w:szCs w:val="24"/>
        </w:rPr>
        <w:drawing>
          <wp:inline distT="0" distB="0" distL="0" distR="0">
            <wp:extent cx="5274310" cy="7499985"/>
            <wp:effectExtent l="0" t="0" r="2540" b="57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7"/>
                    <a:stretch>
                      <a:fillRect/>
                    </a:stretch>
                  </pic:blipFill>
                  <pic:spPr>
                    <a:xfrm>
                      <a:off x="0" y="0"/>
                      <a:ext cx="5274310" cy="7499985"/>
                    </a:xfrm>
                    <a:prstGeom prst="rect">
                      <a:avLst/>
                    </a:prstGeom>
                  </pic:spPr>
                </pic:pic>
              </a:graphicData>
            </a:graphic>
          </wp:inline>
        </w:drawing>
      </w:r>
    </w:p>
    <w:p>
      <w:pPr>
        <w:ind w:firstLine="0" w:firstLineChars="0"/>
        <w:jc w:val="center"/>
        <w:rPr>
          <w:rFonts w:cs="Times New Roman"/>
          <w:kern w:val="0"/>
          <w:szCs w:val="21"/>
        </w:rPr>
      </w:pPr>
      <w:r>
        <w:rPr>
          <w:rFonts w:cs="Times New Roman"/>
          <w:kern w:val="0"/>
          <w:szCs w:val="21"/>
        </w:rPr>
        <w:drawing>
          <wp:inline distT="0" distB="0" distL="0" distR="0">
            <wp:extent cx="5274310" cy="7499985"/>
            <wp:effectExtent l="0" t="0" r="254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8"/>
                    <a:stretch>
                      <a:fillRect/>
                    </a:stretch>
                  </pic:blipFill>
                  <pic:spPr>
                    <a:xfrm>
                      <a:off x="0" y="0"/>
                      <a:ext cx="5274310" cy="7499985"/>
                    </a:xfrm>
                    <a:prstGeom prst="rect">
                      <a:avLst/>
                    </a:prstGeom>
                  </pic:spPr>
                </pic:pic>
              </a:graphicData>
            </a:graphic>
          </wp:inline>
        </w:drawing>
      </w:r>
    </w:p>
    <w:p>
      <w:pPr>
        <w:ind w:firstLine="0" w:firstLineChars="0"/>
        <w:rPr>
          <w:rFonts w:cs="Times New Roman"/>
          <w:kern w:val="0"/>
          <w:szCs w:val="21"/>
        </w:rPr>
        <w:sectPr>
          <w:pgSz w:w="11906" w:h="16838"/>
          <w:pgMar w:top="1440" w:right="1800" w:bottom="1440" w:left="1800" w:header="851" w:footer="992" w:gutter="0"/>
          <w:cols w:space="425" w:num="1"/>
          <w:docGrid w:type="lines" w:linePitch="312" w:charSpace="0"/>
        </w:sectPr>
      </w:pPr>
    </w:p>
    <w:p>
      <w:pPr>
        <w:numPr>
          <w:ilvl w:val="0"/>
          <w:numId w:val="1"/>
        </w:numPr>
        <w:ind w:firstLine="0" w:firstLineChars="0"/>
        <w:rPr>
          <w:rFonts w:cs="Times New Roman"/>
          <w:kern w:val="0"/>
          <w:szCs w:val="21"/>
        </w:rPr>
      </w:pPr>
      <w:r>
        <w:rPr>
          <w:rFonts w:hint="eastAsia" w:cs="Times New Roman"/>
          <w:kern w:val="0"/>
          <w:szCs w:val="21"/>
        </w:rPr>
        <w:t>实验室废试剂</w:t>
      </w:r>
    </w:p>
    <w:p>
      <w:pPr>
        <w:ind w:firstLine="0" w:firstLineChars="0"/>
        <w:rPr>
          <w:rFonts w:cs="Times New Roman"/>
          <w:kern w:val="0"/>
          <w:szCs w:val="21"/>
        </w:rPr>
      </w:pPr>
      <w:r>
        <w:rPr>
          <w:rFonts w:hint="eastAsia" w:cs="Times New Roman"/>
          <w:kern w:val="0"/>
          <w:szCs w:val="21"/>
        </w:rPr>
        <w:drawing>
          <wp:inline distT="0" distB="0" distL="114300" distR="114300">
            <wp:extent cx="8166735" cy="5360670"/>
            <wp:effectExtent l="0" t="0" r="3810" b="1905"/>
            <wp:docPr id="10" name="图片 10" descr="微信图片_2023030718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0307185614"/>
                    <pic:cNvPicPr>
                      <a:picLocks noChangeAspect="1"/>
                    </pic:cNvPicPr>
                  </pic:nvPicPr>
                  <pic:blipFill>
                    <a:blip r:embed="rId30"/>
                    <a:stretch>
                      <a:fillRect/>
                    </a:stretch>
                  </pic:blipFill>
                  <pic:spPr>
                    <a:xfrm rot="16200000">
                      <a:off x="0" y="0"/>
                      <a:ext cx="8166735" cy="5360670"/>
                    </a:xfrm>
                    <a:prstGeom prst="rect">
                      <a:avLst/>
                    </a:prstGeom>
                  </pic:spPr>
                </pic:pic>
              </a:graphicData>
            </a:graphic>
          </wp:inline>
        </w:drawing>
      </w:r>
    </w:p>
    <w:p>
      <w:pPr>
        <w:ind w:firstLine="0" w:firstLineChars="0"/>
        <w:jc w:val="center"/>
        <w:rPr>
          <w:rFonts w:cs="Times New Roman"/>
          <w:kern w:val="0"/>
          <w:szCs w:val="21"/>
        </w:rPr>
      </w:pPr>
      <w:r>
        <w:rPr>
          <w:szCs w:val="24"/>
        </w:rPr>
        <w:drawing>
          <wp:inline distT="0" distB="0" distL="0" distR="0">
            <wp:extent cx="5274310" cy="7499985"/>
            <wp:effectExtent l="0" t="0" r="2540" b="571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9"/>
                    <a:stretch>
                      <a:fillRect/>
                    </a:stretch>
                  </pic:blipFill>
                  <pic:spPr>
                    <a:xfrm>
                      <a:off x="0" y="0"/>
                      <a:ext cx="5274310" cy="7499985"/>
                    </a:xfrm>
                    <a:prstGeom prst="rect">
                      <a:avLst/>
                    </a:prstGeom>
                  </pic:spPr>
                </pic:pic>
              </a:graphicData>
            </a:graphic>
          </wp:inline>
        </w:drawing>
      </w:r>
    </w:p>
    <w:p>
      <w:pPr>
        <w:ind w:firstLine="0" w:firstLineChars="0"/>
        <w:rPr>
          <w:rFonts w:cs="Times New Roman"/>
          <w:kern w:val="0"/>
          <w:szCs w:val="21"/>
        </w:rPr>
      </w:pPr>
    </w:p>
    <w:p>
      <w:pPr>
        <w:ind w:firstLine="0" w:firstLineChars="0"/>
        <w:jc w:val="center"/>
        <w:rPr>
          <w:rFonts w:cs="Times New Roman"/>
          <w:kern w:val="0"/>
          <w:szCs w:val="21"/>
        </w:rPr>
        <w:sectPr>
          <w:pgSz w:w="11906" w:h="16838"/>
          <w:pgMar w:top="1440" w:right="1800" w:bottom="1440" w:left="1800" w:header="851" w:footer="992" w:gutter="0"/>
          <w:cols w:space="425" w:num="1"/>
          <w:docGrid w:type="lines" w:linePitch="312" w:charSpace="0"/>
        </w:sectPr>
      </w:pPr>
    </w:p>
    <w:p>
      <w:pPr>
        <w:ind w:firstLine="0" w:firstLineChars="0"/>
        <w:outlineLvl w:val="1"/>
        <w:rPr>
          <w:rFonts w:cs="Times New Roman"/>
        </w:rPr>
      </w:pPr>
      <w:bookmarkStart w:id="160" w:name="_Toc97540981"/>
      <w:bookmarkStart w:id="161" w:name="_Toc127266673"/>
      <w:bookmarkStart w:id="162" w:name="_Toc93913765"/>
      <w:bookmarkStart w:id="163" w:name="_Toc93913642"/>
      <w:bookmarkStart w:id="164" w:name="_Toc93996114"/>
      <w:bookmarkStart w:id="165" w:name="_Toc93421947"/>
      <w:r>
        <w:rPr>
          <w:rFonts w:cs="Times New Roman"/>
        </w:rPr>
        <w:t>附件</w:t>
      </w:r>
      <w:r>
        <w:rPr>
          <w:rFonts w:hint="eastAsia" w:cs="Times New Roman"/>
        </w:rPr>
        <w:t>3</w:t>
      </w:r>
      <w:r>
        <w:rPr>
          <w:rFonts w:cs="Times New Roman"/>
        </w:rPr>
        <w:t>：</w:t>
      </w:r>
      <w:bookmarkEnd w:id="160"/>
      <w:r>
        <w:rPr>
          <w:rFonts w:hint="eastAsia" w:cs="Times New Roman"/>
        </w:rPr>
        <w:t>应急预案备案文件</w:t>
      </w:r>
      <w:bookmarkEnd w:id="161"/>
    </w:p>
    <w:p>
      <w:pPr>
        <w:ind w:firstLine="0" w:firstLineChars="0"/>
        <w:jc w:val="center"/>
        <w:rPr>
          <w:rFonts w:cs="Times New Roman"/>
        </w:rPr>
      </w:pPr>
      <w:r>
        <w:rPr>
          <w:rFonts w:cs="Times New Roman"/>
        </w:rPr>
        <w:drawing>
          <wp:inline distT="0" distB="0" distL="0" distR="0">
            <wp:extent cx="5274310" cy="702945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0"/>
                    <a:stretch>
                      <a:fillRect/>
                    </a:stretch>
                  </pic:blipFill>
                  <pic:spPr>
                    <a:xfrm>
                      <a:off x="0" y="0"/>
                      <a:ext cx="5274310" cy="7029450"/>
                    </a:xfrm>
                    <a:prstGeom prst="rect">
                      <a:avLst/>
                    </a:prstGeom>
                  </pic:spPr>
                </pic:pic>
              </a:graphicData>
            </a:graphic>
          </wp:inline>
        </w:drawing>
      </w:r>
    </w:p>
    <w:p>
      <w:pPr>
        <w:ind w:firstLine="0" w:firstLineChars="0"/>
        <w:rPr>
          <w:rFonts w:cs="Times New Roman"/>
          <w:kern w:val="0"/>
          <w:szCs w:val="21"/>
        </w:rPr>
      </w:pPr>
      <w:r>
        <w:rPr>
          <w:rFonts w:cs="Times New Roman"/>
          <w:kern w:val="0"/>
          <w:szCs w:val="21"/>
        </w:rPr>
        <w:drawing>
          <wp:inline distT="0" distB="0" distL="0" distR="0">
            <wp:extent cx="5274310" cy="702945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1"/>
                    <a:stretch>
                      <a:fillRect/>
                    </a:stretch>
                  </pic:blipFill>
                  <pic:spPr>
                    <a:xfrm>
                      <a:off x="0" y="0"/>
                      <a:ext cx="5274310" cy="7029450"/>
                    </a:xfrm>
                    <a:prstGeom prst="rect">
                      <a:avLst/>
                    </a:prstGeom>
                  </pic:spPr>
                </pic:pic>
              </a:graphicData>
            </a:graphic>
          </wp:inline>
        </w:drawing>
      </w:r>
      <w:r>
        <w:rPr>
          <w:rFonts w:cs="Times New Roman"/>
          <w:kern w:val="0"/>
          <w:szCs w:val="21"/>
        </w:rPr>
        <w:drawing>
          <wp:inline distT="0" distB="0" distL="0" distR="0">
            <wp:extent cx="5274310" cy="781240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74310" cy="7812405"/>
                    </a:xfrm>
                    <a:prstGeom prst="rect">
                      <a:avLst/>
                    </a:prstGeom>
                  </pic:spPr>
                </pic:pic>
              </a:graphicData>
            </a:graphic>
          </wp:inline>
        </w:drawing>
      </w:r>
    </w:p>
    <w:p>
      <w:pPr>
        <w:ind w:firstLine="480"/>
        <w:rPr>
          <w:rFonts w:cs="Times New Roman"/>
          <w:szCs w:val="21"/>
        </w:rPr>
      </w:pPr>
    </w:p>
    <w:p>
      <w:pPr>
        <w:tabs>
          <w:tab w:val="left" w:pos="3778"/>
        </w:tabs>
        <w:ind w:firstLine="480"/>
        <w:rPr>
          <w:rFonts w:cs="Times New Roman"/>
          <w:szCs w:val="21"/>
        </w:rPr>
      </w:pPr>
    </w:p>
    <w:bookmarkEnd w:id="162"/>
    <w:bookmarkEnd w:id="163"/>
    <w:bookmarkEnd w:id="164"/>
    <w:bookmarkEnd w:id="165"/>
    <w:p>
      <w:pPr>
        <w:spacing w:line="240" w:lineRule="auto"/>
        <w:ind w:firstLine="0" w:firstLineChars="0"/>
        <w:rPr>
          <w:rFonts w:cs="Times New Roman"/>
          <w:kern w:val="0"/>
          <w:szCs w:val="21"/>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Arial Narrow">
    <w:altName w:val="Arial"/>
    <w:panose1 w:val="020B0606020202030204"/>
    <w:charset w:val="00"/>
    <w:family w:val="swiss"/>
    <w:pitch w:val="default"/>
    <w:sig w:usb0="00000000" w:usb1="00000000" w:usb2="00000000" w:usb3="00000000" w:csb0="0000009F" w:csb1="00000000"/>
  </w:font>
  <w:font w:name="Times New Roman (标题 CS)">
    <w:altName w:val="宋体"/>
    <w:panose1 w:val="00000000000000000000"/>
    <w:charset w:val="86"/>
    <w:family w:val="auto"/>
    <w:pitch w:val="default"/>
    <w:sig w:usb0="00000000" w:usb1="00000000" w:usb2="00000000" w:usb3="00000000" w:csb0="00040001" w:csb1="00000000"/>
  </w:font>
  <w:font w:name="Courier New">
    <w:panose1 w:val="02070309020205020404"/>
    <w:charset w:val="00"/>
    <w:family w:val="modern"/>
    <w:pitch w:val="default"/>
    <w:sig w:usb0="E0002EFF" w:usb1="C0007843" w:usb2="00000009" w:usb3="00000000" w:csb0="400001FF" w:csb1="FFFF0000"/>
  </w:font>
  <w:font w:name="楷体_GB2312">
    <w:altName w:val="楷体"/>
    <w:panose1 w:val="00000000000000000000"/>
    <w:charset w:val="86"/>
    <w:family w:val="modern"/>
    <w:pitch w:val="default"/>
    <w:sig w:usb0="00000000" w:usb1="00000000" w:usb2="00000000" w:usb3="00000000" w:csb0="00040000" w:csb1="00000000"/>
  </w:font>
  <w:font w:name="汉鼎简书宋">
    <w:altName w:val="黑体"/>
    <w:panose1 w:val="00000000000000000000"/>
    <w:charset w:val="86"/>
    <w:family w:val="auto"/>
    <w:pitch w:val="default"/>
    <w:sig w:usb0="00000000" w:usb1="00000000" w:usb2="00000010" w:usb3="00000000" w:csb0="00040000" w:csb1="00000000"/>
  </w:font>
  <w:font w:name="..ì.">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jc w:val="center"/>
    </w:pPr>
    <w:r>
      <w:fldChar w:fldCharType="begin"/>
    </w:r>
    <w:r>
      <w:instrText xml:space="preserve"> PAGE   \* MERGEFORMAT </w:instrText>
    </w:r>
    <w:r>
      <w:fldChar w:fldCharType="separate"/>
    </w:r>
    <w:r>
      <w:rPr>
        <w:lang w:val="zh-CN"/>
      </w:rPr>
      <w:t>I</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jc w:val="center"/>
    </w:pPr>
    <w:r>
      <w:fldChar w:fldCharType="begin"/>
    </w:r>
    <w:r>
      <w:instrText xml:space="preserve"> PAGE   \* MERGEFORMAT </w:instrText>
    </w:r>
    <w:r>
      <w:fldChar w:fldCharType="separate"/>
    </w:r>
    <w:r>
      <w:rPr>
        <w:lang w:val="zh-CN"/>
      </w:rPr>
      <w:t>1</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4" w:space="1"/>
      </w:pBdr>
      <w:spacing w:line="240" w:lineRule="auto"/>
      <w:ind w:firstLine="0" w:firstLineChars="0"/>
      <w:rPr>
        <w:rFonts w:cs="Times New Roman"/>
        <w:sz w:val="21"/>
        <w:szCs w:val="21"/>
      </w:rPr>
    </w:pPr>
    <w:r>
      <w:rPr>
        <w:rFonts w:hint="eastAsia"/>
        <w:sz w:val="21"/>
        <w:szCs w:val="21"/>
      </w:rPr>
      <w:t>珲春紫金矿业有限公司曙光金铜矿</w:t>
    </w:r>
    <w:r>
      <w:rPr>
        <w:rFonts w:hint="eastAsia" w:cs="Times New Roman"/>
        <w:sz w:val="21"/>
        <w:szCs w:val="21"/>
      </w:rPr>
      <w:t>202</w:t>
    </w:r>
    <w:r>
      <w:rPr>
        <w:rFonts w:cs="Times New Roman"/>
        <w:sz w:val="21"/>
        <w:szCs w:val="21"/>
      </w:rPr>
      <w:t>1年度</w:t>
    </w:r>
    <w:r>
      <w:rPr>
        <w:rFonts w:hint="eastAsia" w:cs="Times New Roman"/>
        <w:sz w:val="21"/>
        <w:szCs w:val="21"/>
      </w:rPr>
      <w:t>环境信息依法披露报告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E7187B7"/>
    <w:multiLevelType w:val="singleLevel"/>
    <w:tmpl w:val="7E7187B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U0NjM0NmQ0MzY5MmFmODY4MzJjMTVlYzExYzczZDgifQ=="/>
  </w:docVars>
  <w:rsids>
    <w:rsidRoot w:val="00FB7370"/>
    <w:rsid w:val="0000147D"/>
    <w:rsid w:val="00002935"/>
    <w:rsid w:val="00004823"/>
    <w:rsid w:val="0000587B"/>
    <w:rsid w:val="00005935"/>
    <w:rsid w:val="00006CB9"/>
    <w:rsid w:val="00010C6C"/>
    <w:rsid w:val="000114A0"/>
    <w:rsid w:val="00011F8E"/>
    <w:rsid w:val="00012F00"/>
    <w:rsid w:val="00013488"/>
    <w:rsid w:val="0001572C"/>
    <w:rsid w:val="00016C6D"/>
    <w:rsid w:val="00017D41"/>
    <w:rsid w:val="00017E8D"/>
    <w:rsid w:val="00022AF4"/>
    <w:rsid w:val="00024C2F"/>
    <w:rsid w:val="0002741A"/>
    <w:rsid w:val="000276BC"/>
    <w:rsid w:val="0003245C"/>
    <w:rsid w:val="000358A7"/>
    <w:rsid w:val="000375DD"/>
    <w:rsid w:val="000407B4"/>
    <w:rsid w:val="00040820"/>
    <w:rsid w:val="00041C0F"/>
    <w:rsid w:val="0004267B"/>
    <w:rsid w:val="0004333B"/>
    <w:rsid w:val="00044927"/>
    <w:rsid w:val="00046D41"/>
    <w:rsid w:val="000479D2"/>
    <w:rsid w:val="00050E66"/>
    <w:rsid w:val="0005476D"/>
    <w:rsid w:val="000570E0"/>
    <w:rsid w:val="000603A1"/>
    <w:rsid w:val="00061337"/>
    <w:rsid w:val="0006645E"/>
    <w:rsid w:val="00066814"/>
    <w:rsid w:val="00070B0D"/>
    <w:rsid w:val="00071CC9"/>
    <w:rsid w:val="0007250A"/>
    <w:rsid w:val="00075939"/>
    <w:rsid w:val="0007655A"/>
    <w:rsid w:val="000766A4"/>
    <w:rsid w:val="0007740E"/>
    <w:rsid w:val="00077FEC"/>
    <w:rsid w:val="0008241F"/>
    <w:rsid w:val="00082F75"/>
    <w:rsid w:val="00083A24"/>
    <w:rsid w:val="00085DF6"/>
    <w:rsid w:val="00086F51"/>
    <w:rsid w:val="000875ED"/>
    <w:rsid w:val="00090F1E"/>
    <w:rsid w:val="000914B2"/>
    <w:rsid w:val="00091814"/>
    <w:rsid w:val="000925B5"/>
    <w:rsid w:val="00092D06"/>
    <w:rsid w:val="000939FB"/>
    <w:rsid w:val="00094989"/>
    <w:rsid w:val="0009518F"/>
    <w:rsid w:val="00095A4B"/>
    <w:rsid w:val="000A1AB7"/>
    <w:rsid w:val="000A2D38"/>
    <w:rsid w:val="000A43C5"/>
    <w:rsid w:val="000A5F83"/>
    <w:rsid w:val="000B0BC2"/>
    <w:rsid w:val="000B4EC0"/>
    <w:rsid w:val="000B5899"/>
    <w:rsid w:val="000B75A9"/>
    <w:rsid w:val="000D49EC"/>
    <w:rsid w:val="000D6C86"/>
    <w:rsid w:val="000D76C3"/>
    <w:rsid w:val="000E0F3C"/>
    <w:rsid w:val="000E1162"/>
    <w:rsid w:val="000E160F"/>
    <w:rsid w:val="000E3006"/>
    <w:rsid w:val="000E4815"/>
    <w:rsid w:val="000E5419"/>
    <w:rsid w:val="000F01FD"/>
    <w:rsid w:val="000F120A"/>
    <w:rsid w:val="000F4CAA"/>
    <w:rsid w:val="000F61FD"/>
    <w:rsid w:val="000F79EA"/>
    <w:rsid w:val="0010061A"/>
    <w:rsid w:val="00100665"/>
    <w:rsid w:val="00100FBB"/>
    <w:rsid w:val="00103586"/>
    <w:rsid w:val="00103F22"/>
    <w:rsid w:val="00104196"/>
    <w:rsid w:val="00104AF1"/>
    <w:rsid w:val="001054C6"/>
    <w:rsid w:val="001069AA"/>
    <w:rsid w:val="00110347"/>
    <w:rsid w:val="00111BED"/>
    <w:rsid w:val="00113252"/>
    <w:rsid w:val="001138FD"/>
    <w:rsid w:val="00113F8F"/>
    <w:rsid w:val="00114E51"/>
    <w:rsid w:val="00114E80"/>
    <w:rsid w:val="001161BD"/>
    <w:rsid w:val="001200CF"/>
    <w:rsid w:val="0012328F"/>
    <w:rsid w:val="001248E9"/>
    <w:rsid w:val="00125B0A"/>
    <w:rsid w:val="00125F84"/>
    <w:rsid w:val="00127910"/>
    <w:rsid w:val="001306CC"/>
    <w:rsid w:val="00130D34"/>
    <w:rsid w:val="00131EE6"/>
    <w:rsid w:val="00132DAB"/>
    <w:rsid w:val="001353F7"/>
    <w:rsid w:val="001434BD"/>
    <w:rsid w:val="00144219"/>
    <w:rsid w:val="00145529"/>
    <w:rsid w:val="00145FD2"/>
    <w:rsid w:val="0014695D"/>
    <w:rsid w:val="001475A0"/>
    <w:rsid w:val="001508CA"/>
    <w:rsid w:val="001522AD"/>
    <w:rsid w:val="00152726"/>
    <w:rsid w:val="00152F72"/>
    <w:rsid w:val="00153963"/>
    <w:rsid w:val="00155161"/>
    <w:rsid w:val="001600FB"/>
    <w:rsid w:val="00160656"/>
    <w:rsid w:val="001610B5"/>
    <w:rsid w:val="00161FC6"/>
    <w:rsid w:val="00164DE1"/>
    <w:rsid w:val="001654B7"/>
    <w:rsid w:val="00165552"/>
    <w:rsid w:val="00166B9D"/>
    <w:rsid w:val="00167E57"/>
    <w:rsid w:val="00167FE0"/>
    <w:rsid w:val="00172DCA"/>
    <w:rsid w:val="00172E6F"/>
    <w:rsid w:val="001749F2"/>
    <w:rsid w:val="00174F45"/>
    <w:rsid w:val="001756F0"/>
    <w:rsid w:val="00181073"/>
    <w:rsid w:val="00181DC4"/>
    <w:rsid w:val="001906BB"/>
    <w:rsid w:val="00190A21"/>
    <w:rsid w:val="00191D86"/>
    <w:rsid w:val="001925D5"/>
    <w:rsid w:val="00192B49"/>
    <w:rsid w:val="00193466"/>
    <w:rsid w:val="00195088"/>
    <w:rsid w:val="00196C4A"/>
    <w:rsid w:val="00197E8B"/>
    <w:rsid w:val="001A29AC"/>
    <w:rsid w:val="001A47EF"/>
    <w:rsid w:val="001A5BC4"/>
    <w:rsid w:val="001A74AF"/>
    <w:rsid w:val="001B018A"/>
    <w:rsid w:val="001B5ABA"/>
    <w:rsid w:val="001B5FB3"/>
    <w:rsid w:val="001B7F5B"/>
    <w:rsid w:val="001C17BF"/>
    <w:rsid w:val="001C17C2"/>
    <w:rsid w:val="001C3CB2"/>
    <w:rsid w:val="001C5FF6"/>
    <w:rsid w:val="001C6290"/>
    <w:rsid w:val="001C638D"/>
    <w:rsid w:val="001C700F"/>
    <w:rsid w:val="001C70B2"/>
    <w:rsid w:val="001C76E3"/>
    <w:rsid w:val="001D05E6"/>
    <w:rsid w:val="001D0865"/>
    <w:rsid w:val="001D2A5C"/>
    <w:rsid w:val="001D2C52"/>
    <w:rsid w:val="001D2D62"/>
    <w:rsid w:val="001D3663"/>
    <w:rsid w:val="001D41B7"/>
    <w:rsid w:val="001D4DF7"/>
    <w:rsid w:val="001D7AE8"/>
    <w:rsid w:val="001E2042"/>
    <w:rsid w:val="001E365F"/>
    <w:rsid w:val="001E467F"/>
    <w:rsid w:val="001E7987"/>
    <w:rsid w:val="001F0FD2"/>
    <w:rsid w:val="001F24B5"/>
    <w:rsid w:val="001F659B"/>
    <w:rsid w:val="001F6709"/>
    <w:rsid w:val="001F7D20"/>
    <w:rsid w:val="00200F1C"/>
    <w:rsid w:val="00201812"/>
    <w:rsid w:val="002055C9"/>
    <w:rsid w:val="00206A9E"/>
    <w:rsid w:val="0021206D"/>
    <w:rsid w:val="00213172"/>
    <w:rsid w:val="002214BA"/>
    <w:rsid w:val="002269F8"/>
    <w:rsid w:val="00226E1E"/>
    <w:rsid w:val="00231D9F"/>
    <w:rsid w:val="00235AF4"/>
    <w:rsid w:val="00236C81"/>
    <w:rsid w:val="00237195"/>
    <w:rsid w:val="00241992"/>
    <w:rsid w:val="0024202E"/>
    <w:rsid w:val="0024289F"/>
    <w:rsid w:val="0024351E"/>
    <w:rsid w:val="00244A63"/>
    <w:rsid w:val="00244EFC"/>
    <w:rsid w:val="002462F6"/>
    <w:rsid w:val="002466F6"/>
    <w:rsid w:val="00246730"/>
    <w:rsid w:val="00247B82"/>
    <w:rsid w:val="002516D7"/>
    <w:rsid w:val="0025354A"/>
    <w:rsid w:val="002541D0"/>
    <w:rsid w:val="0025568F"/>
    <w:rsid w:val="00257B66"/>
    <w:rsid w:val="0026443B"/>
    <w:rsid w:val="002654A5"/>
    <w:rsid w:val="0027231E"/>
    <w:rsid w:val="00274817"/>
    <w:rsid w:val="002752A0"/>
    <w:rsid w:val="00277943"/>
    <w:rsid w:val="0028532E"/>
    <w:rsid w:val="00285772"/>
    <w:rsid w:val="002859EB"/>
    <w:rsid w:val="002874A0"/>
    <w:rsid w:val="00292766"/>
    <w:rsid w:val="00292C1F"/>
    <w:rsid w:val="00293B01"/>
    <w:rsid w:val="002941C2"/>
    <w:rsid w:val="00294816"/>
    <w:rsid w:val="002954A8"/>
    <w:rsid w:val="002A3798"/>
    <w:rsid w:val="002A3B84"/>
    <w:rsid w:val="002A4879"/>
    <w:rsid w:val="002A5478"/>
    <w:rsid w:val="002A54AA"/>
    <w:rsid w:val="002A5696"/>
    <w:rsid w:val="002A5CB1"/>
    <w:rsid w:val="002A6B10"/>
    <w:rsid w:val="002B092B"/>
    <w:rsid w:val="002B1702"/>
    <w:rsid w:val="002C1731"/>
    <w:rsid w:val="002C2C8C"/>
    <w:rsid w:val="002C42E1"/>
    <w:rsid w:val="002C50CA"/>
    <w:rsid w:val="002C7D3D"/>
    <w:rsid w:val="002D0939"/>
    <w:rsid w:val="002D1D37"/>
    <w:rsid w:val="002D1D4C"/>
    <w:rsid w:val="002D5B81"/>
    <w:rsid w:val="002D6740"/>
    <w:rsid w:val="002E061E"/>
    <w:rsid w:val="002E0B62"/>
    <w:rsid w:val="002E0F1C"/>
    <w:rsid w:val="002E1A24"/>
    <w:rsid w:val="002E1D10"/>
    <w:rsid w:val="002E2A29"/>
    <w:rsid w:val="002E6D8B"/>
    <w:rsid w:val="002F10FF"/>
    <w:rsid w:val="002F3C61"/>
    <w:rsid w:val="002F3F2D"/>
    <w:rsid w:val="002F6D70"/>
    <w:rsid w:val="002F6DC0"/>
    <w:rsid w:val="002F7968"/>
    <w:rsid w:val="0030075D"/>
    <w:rsid w:val="00302BA8"/>
    <w:rsid w:val="003042FA"/>
    <w:rsid w:val="00304E9E"/>
    <w:rsid w:val="0030594A"/>
    <w:rsid w:val="00305B2A"/>
    <w:rsid w:val="00306047"/>
    <w:rsid w:val="003065BE"/>
    <w:rsid w:val="003068C4"/>
    <w:rsid w:val="00306A05"/>
    <w:rsid w:val="00306AA2"/>
    <w:rsid w:val="00310497"/>
    <w:rsid w:val="00310AD5"/>
    <w:rsid w:val="003112F3"/>
    <w:rsid w:val="003117FF"/>
    <w:rsid w:val="00315709"/>
    <w:rsid w:val="00316607"/>
    <w:rsid w:val="00320635"/>
    <w:rsid w:val="0032064C"/>
    <w:rsid w:val="00320C84"/>
    <w:rsid w:val="00322348"/>
    <w:rsid w:val="00323141"/>
    <w:rsid w:val="00327082"/>
    <w:rsid w:val="00327B1F"/>
    <w:rsid w:val="00327EB3"/>
    <w:rsid w:val="0033037A"/>
    <w:rsid w:val="003324AD"/>
    <w:rsid w:val="003338C5"/>
    <w:rsid w:val="00335A4F"/>
    <w:rsid w:val="003360E7"/>
    <w:rsid w:val="00336214"/>
    <w:rsid w:val="00337372"/>
    <w:rsid w:val="00340660"/>
    <w:rsid w:val="003417B1"/>
    <w:rsid w:val="00342D48"/>
    <w:rsid w:val="00343831"/>
    <w:rsid w:val="003450D3"/>
    <w:rsid w:val="003452AD"/>
    <w:rsid w:val="00347D50"/>
    <w:rsid w:val="00351A06"/>
    <w:rsid w:val="00351BE5"/>
    <w:rsid w:val="00352D29"/>
    <w:rsid w:val="00355342"/>
    <w:rsid w:val="00356031"/>
    <w:rsid w:val="003573CF"/>
    <w:rsid w:val="00357B0B"/>
    <w:rsid w:val="00360DF0"/>
    <w:rsid w:val="003619CD"/>
    <w:rsid w:val="003620F1"/>
    <w:rsid w:val="00362F88"/>
    <w:rsid w:val="00365474"/>
    <w:rsid w:val="00365D7D"/>
    <w:rsid w:val="003700EE"/>
    <w:rsid w:val="00370810"/>
    <w:rsid w:val="003721CB"/>
    <w:rsid w:val="00372E1A"/>
    <w:rsid w:val="00374BA5"/>
    <w:rsid w:val="00374E41"/>
    <w:rsid w:val="00374F75"/>
    <w:rsid w:val="00375657"/>
    <w:rsid w:val="003771CF"/>
    <w:rsid w:val="00381107"/>
    <w:rsid w:val="0038164A"/>
    <w:rsid w:val="00382DA9"/>
    <w:rsid w:val="00383331"/>
    <w:rsid w:val="00384A61"/>
    <w:rsid w:val="0038603E"/>
    <w:rsid w:val="003876BB"/>
    <w:rsid w:val="003905DA"/>
    <w:rsid w:val="00394726"/>
    <w:rsid w:val="00394A69"/>
    <w:rsid w:val="003957E1"/>
    <w:rsid w:val="00396868"/>
    <w:rsid w:val="003969ED"/>
    <w:rsid w:val="003A2A9F"/>
    <w:rsid w:val="003A3C8E"/>
    <w:rsid w:val="003A3EB1"/>
    <w:rsid w:val="003A651A"/>
    <w:rsid w:val="003A6619"/>
    <w:rsid w:val="003A6FFB"/>
    <w:rsid w:val="003B1B73"/>
    <w:rsid w:val="003B2A02"/>
    <w:rsid w:val="003B2DB1"/>
    <w:rsid w:val="003B3721"/>
    <w:rsid w:val="003B3CCC"/>
    <w:rsid w:val="003B6652"/>
    <w:rsid w:val="003B70E0"/>
    <w:rsid w:val="003B7887"/>
    <w:rsid w:val="003C7218"/>
    <w:rsid w:val="003D020E"/>
    <w:rsid w:val="003D059B"/>
    <w:rsid w:val="003D0EB0"/>
    <w:rsid w:val="003D2470"/>
    <w:rsid w:val="003D351B"/>
    <w:rsid w:val="003D6A0A"/>
    <w:rsid w:val="003E0C4D"/>
    <w:rsid w:val="003E4C2C"/>
    <w:rsid w:val="003E6325"/>
    <w:rsid w:val="003E703C"/>
    <w:rsid w:val="003F4658"/>
    <w:rsid w:val="003F4A7A"/>
    <w:rsid w:val="003F5675"/>
    <w:rsid w:val="003F6927"/>
    <w:rsid w:val="00400408"/>
    <w:rsid w:val="0040077A"/>
    <w:rsid w:val="004009C8"/>
    <w:rsid w:val="00401A38"/>
    <w:rsid w:val="00403EC3"/>
    <w:rsid w:val="0040482C"/>
    <w:rsid w:val="00404ABB"/>
    <w:rsid w:val="00406423"/>
    <w:rsid w:val="00406BA5"/>
    <w:rsid w:val="00406C7B"/>
    <w:rsid w:val="004118CD"/>
    <w:rsid w:val="00412412"/>
    <w:rsid w:val="004129DE"/>
    <w:rsid w:val="00413C0D"/>
    <w:rsid w:val="00414275"/>
    <w:rsid w:val="004146AB"/>
    <w:rsid w:val="00416EF6"/>
    <w:rsid w:val="0041792A"/>
    <w:rsid w:val="00420247"/>
    <w:rsid w:val="00420782"/>
    <w:rsid w:val="004219D6"/>
    <w:rsid w:val="0042229E"/>
    <w:rsid w:val="004254BD"/>
    <w:rsid w:val="00426AB6"/>
    <w:rsid w:val="00426F0D"/>
    <w:rsid w:val="00427D53"/>
    <w:rsid w:val="00430E37"/>
    <w:rsid w:val="0043173B"/>
    <w:rsid w:val="00431D63"/>
    <w:rsid w:val="00432F23"/>
    <w:rsid w:val="00433D08"/>
    <w:rsid w:val="00435532"/>
    <w:rsid w:val="004373EC"/>
    <w:rsid w:val="00440771"/>
    <w:rsid w:val="00440D35"/>
    <w:rsid w:val="00441DC3"/>
    <w:rsid w:val="00442776"/>
    <w:rsid w:val="00444ACF"/>
    <w:rsid w:val="00444C0B"/>
    <w:rsid w:val="004472AB"/>
    <w:rsid w:val="00452B94"/>
    <w:rsid w:val="00454566"/>
    <w:rsid w:val="00456909"/>
    <w:rsid w:val="00456A92"/>
    <w:rsid w:val="004579AD"/>
    <w:rsid w:val="00460794"/>
    <w:rsid w:val="00462669"/>
    <w:rsid w:val="0046526E"/>
    <w:rsid w:val="00466A51"/>
    <w:rsid w:val="004673F1"/>
    <w:rsid w:val="0047074F"/>
    <w:rsid w:val="004722FF"/>
    <w:rsid w:val="00473760"/>
    <w:rsid w:val="00474474"/>
    <w:rsid w:val="00474F8F"/>
    <w:rsid w:val="00477A47"/>
    <w:rsid w:val="00480D2C"/>
    <w:rsid w:val="00481068"/>
    <w:rsid w:val="004815C0"/>
    <w:rsid w:val="00483A21"/>
    <w:rsid w:val="00483A7C"/>
    <w:rsid w:val="00487A13"/>
    <w:rsid w:val="00490676"/>
    <w:rsid w:val="00492994"/>
    <w:rsid w:val="004939AF"/>
    <w:rsid w:val="00494290"/>
    <w:rsid w:val="0049670F"/>
    <w:rsid w:val="004A1A0D"/>
    <w:rsid w:val="004A1AA1"/>
    <w:rsid w:val="004A2EA5"/>
    <w:rsid w:val="004A3CE6"/>
    <w:rsid w:val="004A3E48"/>
    <w:rsid w:val="004A4499"/>
    <w:rsid w:val="004A7A12"/>
    <w:rsid w:val="004A7D77"/>
    <w:rsid w:val="004B1DE4"/>
    <w:rsid w:val="004B213E"/>
    <w:rsid w:val="004B41B7"/>
    <w:rsid w:val="004C15D4"/>
    <w:rsid w:val="004C1D97"/>
    <w:rsid w:val="004C30AF"/>
    <w:rsid w:val="004C38EC"/>
    <w:rsid w:val="004C46B8"/>
    <w:rsid w:val="004C4CC8"/>
    <w:rsid w:val="004C524E"/>
    <w:rsid w:val="004D10D7"/>
    <w:rsid w:val="004E06FC"/>
    <w:rsid w:val="004E12D7"/>
    <w:rsid w:val="004E22B5"/>
    <w:rsid w:val="004E2906"/>
    <w:rsid w:val="004E489D"/>
    <w:rsid w:val="004E54FD"/>
    <w:rsid w:val="004E5792"/>
    <w:rsid w:val="004E64AD"/>
    <w:rsid w:val="004E6E2B"/>
    <w:rsid w:val="004E7059"/>
    <w:rsid w:val="004F08C1"/>
    <w:rsid w:val="004F3617"/>
    <w:rsid w:val="004F3B06"/>
    <w:rsid w:val="004F4E98"/>
    <w:rsid w:val="004F543E"/>
    <w:rsid w:val="004F77E0"/>
    <w:rsid w:val="00500362"/>
    <w:rsid w:val="005032D2"/>
    <w:rsid w:val="005048DF"/>
    <w:rsid w:val="005106AB"/>
    <w:rsid w:val="0051209C"/>
    <w:rsid w:val="005125A4"/>
    <w:rsid w:val="0051283B"/>
    <w:rsid w:val="005153BF"/>
    <w:rsid w:val="005159A5"/>
    <w:rsid w:val="00516D30"/>
    <w:rsid w:val="00516E27"/>
    <w:rsid w:val="00517F03"/>
    <w:rsid w:val="005203BB"/>
    <w:rsid w:val="00520528"/>
    <w:rsid w:val="00520DEC"/>
    <w:rsid w:val="005219A8"/>
    <w:rsid w:val="00521D3C"/>
    <w:rsid w:val="005220A9"/>
    <w:rsid w:val="00525E49"/>
    <w:rsid w:val="00527F89"/>
    <w:rsid w:val="00530368"/>
    <w:rsid w:val="00531E8E"/>
    <w:rsid w:val="00533D2E"/>
    <w:rsid w:val="00534463"/>
    <w:rsid w:val="005356BF"/>
    <w:rsid w:val="0053670B"/>
    <w:rsid w:val="0054162B"/>
    <w:rsid w:val="00541AD1"/>
    <w:rsid w:val="005429FD"/>
    <w:rsid w:val="00546ABB"/>
    <w:rsid w:val="00547C42"/>
    <w:rsid w:val="00547FEE"/>
    <w:rsid w:val="00554C3A"/>
    <w:rsid w:val="005558B2"/>
    <w:rsid w:val="00555A89"/>
    <w:rsid w:val="00556B0A"/>
    <w:rsid w:val="0056024D"/>
    <w:rsid w:val="00560E2B"/>
    <w:rsid w:val="005613B7"/>
    <w:rsid w:val="00561637"/>
    <w:rsid w:val="005655B1"/>
    <w:rsid w:val="005706FC"/>
    <w:rsid w:val="005728EA"/>
    <w:rsid w:val="00573C5A"/>
    <w:rsid w:val="0057530C"/>
    <w:rsid w:val="00575B71"/>
    <w:rsid w:val="005772A3"/>
    <w:rsid w:val="00581CBB"/>
    <w:rsid w:val="00585371"/>
    <w:rsid w:val="0058668E"/>
    <w:rsid w:val="00592092"/>
    <w:rsid w:val="00592881"/>
    <w:rsid w:val="00592E52"/>
    <w:rsid w:val="00594A89"/>
    <w:rsid w:val="00594FAA"/>
    <w:rsid w:val="00596053"/>
    <w:rsid w:val="0059756B"/>
    <w:rsid w:val="005978AA"/>
    <w:rsid w:val="005A2551"/>
    <w:rsid w:val="005A2B4D"/>
    <w:rsid w:val="005A4238"/>
    <w:rsid w:val="005A6957"/>
    <w:rsid w:val="005B3FE3"/>
    <w:rsid w:val="005B4254"/>
    <w:rsid w:val="005B42EB"/>
    <w:rsid w:val="005B515E"/>
    <w:rsid w:val="005B7038"/>
    <w:rsid w:val="005C29BC"/>
    <w:rsid w:val="005C2EFC"/>
    <w:rsid w:val="005C3C9F"/>
    <w:rsid w:val="005C764E"/>
    <w:rsid w:val="005D1E5F"/>
    <w:rsid w:val="005D2A19"/>
    <w:rsid w:val="005E184B"/>
    <w:rsid w:val="005E4BFE"/>
    <w:rsid w:val="005E4FC5"/>
    <w:rsid w:val="005F0288"/>
    <w:rsid w:val="005F2C90"/>
    <w:rsid w:val="005F34A6"/>
    <w:rsid w:val="005F5E05"/>
    <w:rsid w:val="005F5E7E"/>
    <w:rsid w:val="005F7460"/>
    <w:rsid w:val="005F7E9A"/>
    <w:rsid w:val="006023D9"/>
    <w:rsid w:val="00603863"/>
    <w:rsid w:val="0060557C"/>
    <w:rsid w:val="006120BC"/>
    <w:rsid w:val="00612241"/>
    <w:rsid w:val="00613DE7"/>
    <w:rsid w:val="006148D8"/>
    <w:rsid w:val="00614E20"/>
    <w:rsid w:val="00615C74"/>
    <w:rsid w:val="00616386"/>
    <w:rsid w:val="00617B51"/>
    <w:rsid w:val="00621267"/>
    <w:rsid w:val="0062438E"/>
    <w:rsid w:val="00625955"/>
    <w:rsid w:val="00626AFD"/>
    <w:rsid w:val="00627BA6"/>
    <w:rsid w:val="00630680"/>
    <w:rsid w:val="00631118"/>
    <w:rsid w:val="00632D48"/>
    <w:rsid w:val="00633C05"/>
    <w:rsid w:val="00634AB1"/>
    <w:rsid w:val="006356C6"/>
    <w:rsid w:val="0063759A"/>
    <w:rsid w:val="006376CC"/>
    <w:rsid w:val="00640991"/>
    <w:rsid w:val="00641898"/>
    <w:rsid w:val="00642825"/>
    <w:rsid w:val="00644F6F"/>
    <w:rsid w:val="0064532C"/>
    <w:rsid w:val="00647794"/>
    <w:rsid w:val="00650256"/>
    <w:rsid w:val="00650FBC"/>
    <w:rsid w:val="00653177"/>
    <w:rsid w:val="006534BC"/>
    <w:rsid w:val="00655CCE"/>
    <w:rsid w:val="00656F08"/>
    <w:rsid w:val="00657083"/>
    <w:rsid w:val="00657FC6"/>
    <w:rsid w:val="0066051F"/>
    <w:rsid w:val="00660A3B"/>
    <w:rsid w:val="006626FD"/>
    <w:rsid w:val="006629FF"/>
    <w:rsid w:val="00664D59"/>
    <w:rsid w:val="00666C3E"/>
    <w:rsid w:val="00667C0C"/>
    <w:rsid w:val="00667CBE"/>
    <w:rsid w:val="00670D8E"/>
    <w:rsid w:val="00671EDA"/>
    <w:rsid w:val="00672313"/>
    <w:rsid w:val="0067376B"/>
    <w:rsid w:val="00673E7E"/>
    <w:rsid w:val="00674B06"/>
    <w:rsid w:val="00674CA1"/>
    <w:rsid w:val="00674E48"/>
    <w:rsid w:val="00677086"/>
    <w:rsid w:val="00677396"/>
    <w:rsid w:val="00677784"/>
    <w:rsid w:val="00680D2F"/>
    <w:rsid w:val="00680E68"/>
    <w:rsid w:val="00681755"/>
    <w:rsid w:val="00682013"/>
    <w:rsid w:val="006844AC"/>
    <w:rsid w:val="006847A8"/>
    <w:rsid w:val="0068489C"/>
    <w:rsid w:val="006852C2"/>
    <w:rsid w:val="00686A59"/>
    <w:rsid w:val="00687BB0"/>
    <w:rsid w:val="006900A3"/>
    <w:rsid w:val="00691E43"/>
    <w:rsid w:val="006921C4"/>
    <w:rsid w:val="00693FD7"/>
    <w:rsid w:val="00697FB9"/>
    <w:rsid w:val="006A05B0"/>
    <w:rsid w:val="006A2D3D"/>
    <w:rsid w:val="006A5F99"/>
    <w:rsid w:val="006A65B7"/>
    <w:rsid w:val="006A7D7B"/>
    <w:rsid w:val="006B2162"/>
    <w:rsid w:val="006B4505"/>
    <w:rsid w:val="006C08F4"/>
    <w:rsid w:val="006C2F75"/>
    <w:rsid w:val="006C3DD5"/>
    <w:rsid w:val="006C3DD7"/>
    <w:rsid w:val="006C5DE0"/>
    <w:rsid w:val="006C7A34"/>
    <w:rsid w:val="006D036A"/>
    <w:rsid w:val="006D1CC2"/>
    <w:rsid w:val="006D5511"/>
    <w:rsid w:val="006D5595"/>
    <w:rsid w:val="006E301E"/>
    <w:rsid w:val="006E4432"/>
    <w:rsid w:val="006E46C3"/>
    <w:rsid w:val="006E64BB"/>
    <w:rsid w:val="006F2D33"/>
    <w:rsid w:val="006F3BF1"/>
    <w:rsid w:val="006F605E"/>
    <w:rsid w:val="006F7C15"/>
    <w:rsid w:val="0070237B"/>
    <w:rsid w:val="007033F6"/>
    <w:rsid w:val="00704336"/>
    <w:rsid w:val="0070680F"/>
    <w:rsid w:val="007105B3"/>
    <w:rsid w:val="00710EA2"/>
    <w:rsid w:val="00711D74"/>
    <w:rsid w:val="0071203C"/>
    <w:rsid w:val="00712AA3"/>
    <w:rsid w:val="007140F8"/>
    <w:rsid w:val="00720CFD"/>
    <w:rsid w:val="007212F8"/>
    <w:rsid w:val="007215E5"/>
    <w:rsid w:val="00721B19"/>
    <w:rsid w:val="00725F56"/>
    <w:rsid w:val="00727745"/>
    <w:rsid w:val="007278A5"/>
    <w:rsid w:val="00730294"/>
    <w:rsid w:val="0073089E"/>
    <w:rsid w:val="00730CE8"/>
    <w:rsid w:val="007342D5"/>
    <w:rsid w:val="00734CBE"/>
    <w:rsid w:val="0073554F"/>
    <w:rsid w:val="00737156"/>
    <w:rsid w:val="00737A45"/>
    <w:rsid w:val="007400A9"/>
    <w:rsid w:val="00742105"/>
    <w:rsid w:val="007445EF"/>
    <w:rsid w:val="0074627E"/>
    <w:rsid w:val="0074775B"/>
    <w:rsid w:val="00750DA9"/>
    <w:rsid w:val="0075108B"/>
    <w:rsid w:val="00751964"/>
    <w:rsid w:val="00755B19"/>
    <w:rsid w:val="0075615C"/>
    <w:rsid w:val="00760EF8"/>
    <w:rsid w:val="00763ED7"/>
    <w:rsid w:val="007645C0"/>
    <w:rsid w:val="00766DD3"/>
    <w:rsid w:val="007677F5"/>
    <w:rsid w:val="00767C7F"/>
    <w:rsid w:val="00772AF6"/>
    <w:rsid w:val="007762B3"/>
    <w:rsid w:val="00777B0A"/>
    <w:rsid w:val="00780082"/>
    <w:rsid w:val="007800D9"/>
    <w:rsid w:val="00780527"/>
    <w:rsid w:val="00780780"/>
    <w:rsid w:val="00781538"/>
    <w:rsid w:val="00784525"/>
    <w:rsid w:val="0078461F"/>
    <w:rsid w:val="00791FE7"/>
    <w:rsid w:val="007920CE"/>
    <w:rsid w:val="00794600"/>
    <w:rsid w:val="00794D6C"/>
    <w:rsid w:val="00794EDE"/>
    <w:rsid w:val="007A22F1"/>
    <w:rsid w:val="007A2E64"/>
    <w:rsid w:val="007A337A"/>
    <w:rsid w:val="007A55A4"/>
    <w:rsid w:val="007B1292"/>
    <w:rsid w:val="007B461D"/>
    <w:rsid w:val="007B47E7"/>
    <w:rsid w:val="007B7975"/>
    <w:rsid w:val="007C01AB"/>
    <w:rsid w:val="007C06F6"/>
    <w:rsid w:val="007C0F5E"/>
    <w:rsid w:val="007C1359"/>
    <w:rsid w:val="007C3824"/>
    <w:rsid w:val="007C6C4E"/>
    <w:rsid w:val="007C7D38"/>
    <w:rsid w:val="007D0503"/>
    <w:rsid w:val="007D37B6"/>
    <w:rsid w:val="007E404E"/>
    <w:rsid w:val="007E4DD3"/>
    <w:rsid w:val="007F2875"/>
    <w:rsid w:val="00800555"/>
    <w:rsid w:val="008015B6"/>
    <w:rsid w:val="00804CFD"/>
    <w:rsid w:val="00806036"/>
    <w:rsid w:val="00806FC7"/>
    <w:rsid w:val="008075C0"/>
    <w:rsid w:val="00807E00"/>
    <w:rsid w:val="0081303E"/>
    <w:rsid w:val="00821A5F"/>
    <w:rsid w:val="00821C87"/>
    <w:rsid w:val="00821EA2"/>
    <w:rsid w:val="00826065"/>
    <w:rsid w:val="008264C5"/>
    <w:rsid w:val="00826A62"/>
    <w:rsid w:val="0083178C"/>
    <w:rsid w:val="00831C82"/>
    <w:rsid w:val="0083219A"/>
    <w:rsid w:val="00833068"/>
    <w:rsid w:val="00833A3E"/>
    <w:rsid w:val="00833C1A"/>
    <w:rsid w:val="008342C6"/>
    <w:rsid w:val="00834788"/>
    <w:rsid w:val="008352BE"/>
    <w:rsid w:val="00835E0F"/>
    <w:rsid w:val="008363D4"/>
    <w:rsid w:val="008364B5"/>
    <w:rsid w:val="00836D05"/>
    <w:rsid w:val="00842C7F"/>
    <w:rsid w:val="0084311F"/>
    <w:rsid w:val="00843D8A"/>
    <w:rsid w:val="0084522B"/>
    <w:rsid w:val="00847445"/>
    <w:rsid w:val="00847593"/>
    <w:rsid w:val="008519E6"/>
    <w:rsid w:val="008522B6"/>
    <w:rsid w:val="00853AF3"/>
    <w:rsid w:val="00854BF6"/>
    <w:rsid w:val="00854FD2"/>
    <w:rsid w:val="00855C52"/>
    <w:rsid w:val="00855E57"/>
    <w:rsid w:val="00857455"/>
    <w:rsid w:val="008607FA"/>
    <w:rsid w:val="00865369"/>
    <w:rsid w:val="00870644"/>
    <w:rsid w:val="0087470E"/>
    <w:rsid w:val="00875228"/>
    <w:rsid w:val="008753DF"/>
    <w:rsid w:val="00875D9E"/>
    <w:rsid w:val="00875EA1"/>
    <w:rsid w:val="00875FB9"/>
    <w:rsid w:val="008778A9"/>
    <w:rsid w:val="00877C75"/>
    <w:rsid w:val="00880EDB"/>
    <w:rsid w:val="008824B0"/>
    <w:rsid w:val="00882809"/>
    <w:rsid w:val="0088484D"/>
    <w:rsid w:val="00885121"/>
    <w:rsid w:val="008857F5"/>
    <w:rsid w:val="008859B0"/>
    <w:rsid w:val="00887757"/>
    <w:rsid w:val="0089080E"/>
    <w:rsid w:val="00890E9F"/>
    <w:rsid w:val="008955EB"/>
    <w:rsid w:val="00895822"/>
    <w:rsid w:val="00896081"/>
    <w:rsid w:val="00896ACA"/>
    <w:rsid w:val="008A2AF2"/>
    <w:rsid w:val="008A383B"/>
    <w:rsid w:val="008A4626"/>
    <w:rsid w:val="008A5EB4"/>
    <w:rsid w:val="008A5FF1"/>
    <w:rsid w:val="008A6575"/>
    <w:rsid w:val="008A6770"/>
    <w:rsid w:val="008A6887"/>
    <w:rsid w:val="008B0EA2"/>
    <w:rsid w:val="008B370D"/>
    <w:rsid w:val="008B4292"/>
    <w:rsid w:val="008B75B8"/>
    <w:rsid w:val="008C07BF"/>
    <w:rsid w:val="008C0EE8"/>
    <w:rsid w:val="008C203D"/>
    <w:rsid w:val="008C3215"/>
    <w:rsid w:val="008C4307"/>
    <w:rsid w:val="008C6E29"/>
    <w:rsid w:val="008C7F6D"/>
    <w:rsid w:val="008D09FF"/>
    <w:rsid w:val="008D3E88"/>
    <w:rsid w:val="008D4EC7"/>
    <w:rsid w:val="008E045C"/>
    <w:rsid w:val="008E4FF4"/>
    <w:rsid w:val="008E575A"/>
    <w:rsid w:val="008E5F04"/>
    <w:rsid w:val="008F0106"/>
    <w:rsid w:val="008F061A"/>
    <w:rsid w:val="008F2B1A"/>
    <w:rsid w:val="008F4299"/>
    <w:rsid w:val="008F52DE"/>
    <w:rsid w:val="008F571D"/>
    <w:rsid w:val="008F7CCC"/>
    <w:rsid w:val="0090151F"/>
    <w:rsid w:val="009026E3"/>
    <w:rsid w:val="00903659"/>
    <w:rsid w:val="0090602A"/>
    <w:rsid w:val="009139FF"/>
    <w:rsid w:val="0091742A"/>
    <w:rsid w:val="00920F69"/>
    <w:rsid w:val="009219F3"/>
    <w:rsid w:val="00924566"/>
    <w:rsid w:val="0092635D"/>
    <w:rsid w:val="009275F8"/>
    <w:rsid w:val="00927BB4"/>
    <w:rsid w:val="00930285"/>
    <w:rsid w:val="00932321"/>
    <w:rsid w:val="00932CAB"/>
    <w:rsid w:val="00934936"/>
    <w:rsid w:val="00935B1D"/>
    <w:rsid w:val="00937A58"/>
    <w:rsid w:val="00940D2D"/>
    <w:rsid w:val="00940ECB"/>
    <w:rsid w:val="009423FE"/>
    <w:rsid w:val="00942833"/>
    <w:rsid w:val="00944A16"/>
    <w:rsid w:val="0094542C"/>
    <w:rsid w:val="00946DD8"/>
    <w:rsid w:val="00947AEE"/>
    <w:rsid w:val="009502C1"/>
    <w:rsid w:val="0095078E"/>
    <w:rsid w:val="009545BF"/>
    <w:rsid w:val="009563AB"/>
    <w:rsid w:val="00956CD9"/>
    <w:rsid w:val="00963211"/>
    <w:rsid w:val="00963495"/>
    <w:rsid w:val="009646A3"/>
    <w:rsid w:val="009654E4"/>
    <w:rsid w:val="00965B2C"/>
    <w:rsid w:val="00966618"/>
    <w:rsid w:val="009702CF"/>
    <w:rsid w:val="009705F2"/>
    <w:rsid w:val="009717B4"/>
    <w:rsid w:val="00971E96"/>
    <w:rsid w:val="00973BE6"/>
    <w:rsid w:val="009756F2"/>
    <w:rsid w:val="0097593F"/>
    <w:rsid w:val="00976CDF"/>
    <w:rsid w:val="00981C95"/>
    <w:rsid w:val="00984357"/>
    <w:rsid w:val="00985E01"/>
    <w:rsid w:val="00986FC1"/>
    <w:rsid w:val="0099118A"/>
    <w:rsid w:val="00991455"/>
    <w:rsid w:val="00991F83"/>
    <w:rsid w:val="00994FD7"/>
    <w:rsid w:val="009A20D6"/>
    <w:rsid w:val="009A21B9"/>
    <w:rsid w:val="009A2D73"/>
    <w:rsid w:val="009A4AB5"/>
    <w:rsid w:val="009A5994"/>
    <w:rsid w:val="009A6987"/>
    <w:rsid w:val="009B03FB"/>
    <w:rsid w:val="009B5013"/>
    <w:rsid w:val="009B5C18"/>
    <w:rsid w:val="009B5E51"/>
    <w:rsid w:val="009B60BF"/>
    <w:rsid w:val="009C10AD"/>
    <w:rsid w:val="009C2035"/>
    <w:rsid w:val="009C5107"/>
    <w:rsid w:val="009C5588"/>
    <w:rsid w:val="009C590B"/>
    <w:rsid w:val="009C5A47"/>
    <w:rsid w:val="009C66CE"/>
    <w:rsid w:val="009C6A89"/>
    <w:rsid w:val="009D2EAB"/>
    <w:rsid w:val="009D5D7A"/>
    <w:rsid w:val="009D60E1"/>
    <w:rsid w:val="009D687F"/>
    <w:rsid w:val="009E0F4A"/>
    <w:rsid w:val="009E2213"/>
    <w:rsid w:val="009E2AB9"/>
    <w:rsid w:val="009E3289"/>
    <w:rsid w:val="009E3650"/>
    <w:rsid w:val="009E41D4"/>
    <w:rsid w:val="009E48D6"/>
    <w:rsid w:val="009E5551"/>
    <w:rsid w:val="009E6CEA"/>
    <w:rsid w:val="009F05D0"/>
    <w:rsid w:val="009F08FA"/>
    <w:rsid w:val="009F36CE"/>
    <w:rsid w:val="009F3ADC"/>
    <w:rsid w:val="009F62C0"/>
    <w:rsid w:val="009F6967"/>
    <w:rsid w:val="009F6B16"/>
    <w:rsid w:val="009F7B29"/>
    <w:rsid w:val="00A002D6"/>
    <w:rsid w:val="00A0375A"/>
    <w:rsid w:val="00A05B73"/>
    <w:rsid w:val="00A0600F"/>
    <w:rsid w:val="00A06092"/>
    <w:rsid w:val="00A06662"/>
    <w:rsid w:val="00A06D54"/>
    <w:rsid w:val="00A10C68"/>
    <w:rsid w:val="00A110F6"/>
    <w:rsid w:val="00A11AC0"/>
    <w:rsid w:val="00A11B5C"/>
    <w:rsid w:val="00A12DA9"/>
    <w:rsid w:val="00A12EC6"/>
    <w:rsid w:val="00A13DF6"/>
    <w:rsid w:val="00A14144"/>
    <w:rsid w:val="00A149A6"/>
    <w:rsid w:val="00A169D1"/>
    <w:rsid w:val="00A16D93"/>
    <w:rsid w:val="00A20E1A"/>
    <w:rsid w:val="00A21CFE"/>
    <w:rsid w:val="00A2344F"/>
    <w:rsid w:val="00A23529"/>
    <w:rsid w:val="00A23691"/>
    <w:rsid w:val="00A2438B"/>
    <w:rsid w:val="00A3270D"/>
    <w:rsid w:val="00A35C65"/>
    <w:rsid w:val="00A3684D"/>
    <w:rsid w:val="00A41493"/>
    <w:rsid w:val="00A4266A"/>
    <w:rsid w:val="00A45E07"/>
    <w:rsid w:val="00A4616A"/>
    <w:rsid w:val="00A51F58"/>
    <w:rsid w:val="00A524B3"/>
    <w:rsid w:val="00A526AB"/>
    <w:rsid w:val="00A52B37"/>
    <w:rsid w:val="00A53E06"/>
    <w:rsid w:val="00A55114"/>
    <w:rsid w:val="00A57558"/>
    <w:rsid w:val="00A6006D"/>
    <w:rsid w:val="00A63EA2"/>
    <w:rsid w:val="00A6438D"/>
    <w:rsid w:val="00A643D1"/>
    <w:rsid w:val="00A6444F"/>
    <w:rsid w:val="00A66328"/>
    <w:rsid w:val="00A7455E"/>
    <w:rsid w:val="00A75612"/>
    <w:rsid w:val="00A76C1F"/>
    <w:rsid w:val="00A836CA"/>
    <w:rsid w:val="00A85088"/>
    <w:rsid w:val="00A8557A"/>
    <w:rsid w:val="00A86831"/>
    <w:rsid w:val="00A86E45"/>
    <w:rsid w:val="00A91C3D"/>
    <w:rsid w:val="00A941D5"/>
    <w:rsid w:val="00A9742B"/>
    <w:rsid w:val="00AA2E6D"/>
    <w:rsid w:val="00AA61A2"/>
    <w:rsid w:val="00AA6522"/>
    <w:rsid w:val="00AB1F49"/>
    <w:rsid w:val="00AB2964"/>
    <w:rsid w:val="00AB5ABB"/>
    <w:rsid w:val="00AB6C21"/>
    <w:rsid w:val="00AC0966"/>
    <w:rsid w:val="00AC162D"/>
    <w:rsid w:val="00AC3059"/>
    <w:rsid w:val="00AC47C2"/>
    <w:rsid w:val="00AC594E"/>
    <w:rsid w:val="00AD287F"/>
    <w:rsid w:val="00AD7682"/>
    <w:rsid w:val="00AE1DAE"/>
    <w:rsid w:val="00AE5DEE"/>
    <w:rsid w:val="00AE665A"/>
    <w:rsid w:val="00AE75EE"/>
    <w:rsid w:val="00AE7BC9"/>
    <w:rsid w:val="00AF0100"/>
    <w:rsid w:val="00AF015B"/>
    <w:rsid w:val="00AF1726"/>
    <w:rsid w:val="00AF198F"/>
    <w:rsid w:val="00AF43E3"/>
    <w:rsid w:val="00B05073"/>
    <w:rsid w:val="00B050DA"/>
    <w:rsid w:val="00B10B2A"/>
    <w:rsid w:val="00B12946"/>
    <w:rsid w:val="00B17579"/>
    <w:rsid w:val="00B17B4C"/>
    <w:rsid w:val="00B2650B"/>
    <w:rsid w:val="00B30775"/>
    <w:rsid w:val="00B30FC2"/>
    <w:rsid w:val="00B3155F"/>
    <w:rsid w:val="00B32E6E"/>
    <w:rsid w:val="00B32FC1"/>
    <w:rsid w:val="00B364A9"/>
    <w:rsid w:val="00B364C0"/>
    <w:rsid w:val="00B3784B"/>
    <w:rsid w:val="00B37CCD"/>
    <w:rsid w:val="00B4126B"/>
    <w:rsid w:val="00B41580"/>
    <w:rsid w:val="00B41F22"/>
    <w:rsid w:val="00B42D9D"/>
    <w:rsid w:val="00B43688"/>
    <w:rsid w:val="00B445E7"/>
    <w:rsid w:val="00B46B05"/>
    <w:rsid w:val="00B46B58"/>
    <w:rsid w:val="00B4789B"/>
    <w:rsid w:val="00B51469"/>
    <w:rsid w:val="00B54E16"/>
    <w:rsid w:val="00B6193A"/>
    <w:rsid w:val="00B6316A"/>
    <w:rsid w:val="00B65983"/>
    <w:rsid w:val="00B677BF"/>
    <w:rsid w:val="00B70E21"/>
    <w:rsid w:val="00B713A8"/>
    <w:rsid w:val="00B720A1"/>
    <w:rsid w:val="00B759E1"/>
    <w:rsid w:val="00B77F7C"/>
    <w:rsid w:val="00B802D4"/>
    <w:rsid w:val="00B8083B"/>
    <w:rsid w:val="00B8092E"/>
    <w:rsid w:val="00B813A8"/>
    <w:rsid w:val="00B81F44"/>
    <w:rsid w:val="00B8339D"/>
    <w:rsid w:val="00B853B7"/>
    <w:rsid w:val="00B85D52"/>
    <w:rsid w:val="00B91301"/>
    <w:rsid w:val="00B9224B"/>
    <w:rsid w:val="00B93B91"/>
    <w:rsid w:val="00B96E54"/>
    <w:rsid w:val="00B97B38"/>
    <w:rsid w:val="00BA090A"/>
    <w:rsid w:val="00BA0BB1"/>
    <w:rsid w:val="00BA1465"/>
    <w:rsid w:val="00BA17D0"/>
    <w:rsid w:val="00BA54FB"/>
    <w:rsid w:val="00BA7804"/>
    <w:rsid w:val="00BA7DBB"/>
    <w:rsid w:val="00BB2025"/>
    <w:rsid w:val="00BB2F6C"/>
    <w:rsid w:val="00BB6328"/>
    <w:rsid w:val="00BB7313"/>
    <w:rsid w:val="00BB7F5C"/>
    <w:rsid w:val="00BC0A2F"/>
    <w:rsid w:val="00BC12AF"/>
    <w:rsid w:val="00BC1859"/>
    <w:rsid w:val="00BC2320"/>
    <w:rsid w:val="00BC4225"/>
    <w:rsid w:val="00BC4A08"/>
    <w:rsid w:val="00BC6448"/>
    <w:rsid w:val="00BC763D"/>
    <w:rsid w:val="00BC7CC6"/>
    <w:rsid w:val="00BD0B17"/>
    <w:rsid w:val="00BD13F5"/>
    <w:rsid w:val="00BD1AC9"/>
    <w:rsid w:val="00BD1B2B"/>
    <w:rsid w:val="00BD3099"/>
    <w:rsid w:val="00BD7CBE"/>
    <w:rsid w:val="00BE0E5B"/>
    <w:rsid w:val="00BE2775"/>
    <w:rsid w:val="00BE39E6"/>
    <w:rsid w:val="00BE40D2"/>
    <w:rsid w:val="00BE49B2"/>
    <w:rsid w:val="00BE59C1"/>
    <w:rsid w:val="00BE66EE"/>
    <w:rsid w:val="00BE6D2B"/>
    <w:rsid w:val="00BE6E5C"/>
    <w:rsid w:val="00BE7F67"/>
    <w:rsid w:val="00BF02D3"/>
    <w:rsid w:val="00BF7B1F"/>
    <w:rsid w:val="00BF7B8F"/>
    <w:rsid w:val="00C009F1"/>
    <w:rsid w:val="00C031E2"/>
    <w:rsid w:val="00C03262"/>
    <w:rsid w:val="00C0440B"/>
    <w:rsid w:val="00C05D99"/>
    <w:rsid w:val="00C07414"/>
    <w:rsid w:val="00C1065F"/>
    <w:rsid w:val="00C12172"/>
    <w:rsid w:val="00C1468A"/>
    <w:rsid w:val="00C204FE"/>
    <w:rsid w:val="00C25979"/>
    <w:rsid w:val="00C277B4"/>
    <w:rsid w:val="00C320A0"/>
    <w:rsid w:val="00C32FC0"/>
    <w:rsid w:val="00C33CB3"/>
    <w:rsid w:val="00C34A99"/>
    <w:rsid w:val="00C35631"/>
    <w:rsid w:val="00C3586E"/>
    <w:rsid w:val="00C36B08"/>
    <w:rsid w:val="00C4100A"/>
    <w:rsid w:val="00C4100E"/>
    <w:rsid w:val="00C41F84"/>
    <w:rsid w:val="00C465FA"/>
    <w:rsid w:val="00C4707C"/>
    <w:rsid w:val="00C5132C"/>
    <w:rsid w:val="00C52916"/>
    <w:rsid w:val="00C66329"/>
    <w:rsid w:val="00C677F1"/>
    <w:rsid w:val="00C67DA0"/>
    <w:rsid w:val="00C706F4"/>
    <w:rsid w:val="00C749C7"/>
    <w:rsid w:val="00C82735"/>
    <w:rsid w:val="00C85DB8"/>
    <w:rsid w:val="00C871FD"/>
    <w:rsid w:val="00C87379"/>
    <w:rsid w:val="00C87C17"/>
    <w:rsid w:val="00C90B50"/>
    <w:rsid w:val="00C91C10"/>
    <w:rsid w:val="00C947AA"/>
    <w:rsid w:val="00C94FCD"/>
    <w:rsid w:val="00C95CEC"/>
    <w:rsid w:val="00C97BE8"/>
    <w:rsid w:val="00CA0FF2"/>
    <w:rsid w:val="00CA380F"/>
    <w:rsid w:val="00CA51F2"/>
    <w:rsid w:val="00CA7C68"/>
    <w:rsid w:val="00CB18F4"/>
    <w:rsid w:val="00CB5AC2"/>
    <w:rsid w:val="00CB66D0"/>
    <w:rsid w:val="00CC24CC"/>
    <w:rsid w:val="00CC2CB3"/>
    <w:rsid w:val="00CC2F1D"/>
    <w:rsid w:val="00CC2F2E"/>
    <w:rsid w:val="00CC4895"/>
    <w:rsid w:val="00CC634D"/>
    <w:rsid w:val="00CC7EFF"/>
    <w:rsid w:val="00CD1935"/>
    <w:rsid w:val="00CD2CD9"/>
    <w:rsid w:val="00CD3DE0"/>
    <w:rsid w:val="00CD42A0"/>
    <w:rsid w:val="00CD42D8"/>
    <w:rsid w:val="00CE0C48"/>
    <w:rsid w:val="00CE22C1"/>
    <w:rsid w:val="00CE29E2"/>
    <w:rsid w:val="00CE3B34"/>
    <w:rsid w:val="00CE3CEA"/>
    <w:rsid w:val="00CE5071"/>
    <w:rsid w:val="00CF4025"/>
    <w:rsid w:val="00CF42DE"/>
    <w:rsid w:val="00CF4B2C"/>
    <w:rsid w:val="00CF4FCD"/>
    <w:rsid w:val="00CF555B"/>
    <w:rsid w:val="00CF58D2"/>
    <w:rsid w:val="00CF7615"/>
    <w:rsid w:val="00CF7D7E"/>
    <w:rsid w:val="00D00AEC"/>
    <w:rsid w:val="00D00DE8"/>
    <w:rsid w:val="00D01C2A"/>
    <w:rsid w:val="00D01C7A"/>
    <w:rsid w:val="00D01F13"/>
    <w:rsid w:val="00D0337C"/>
    <w:rsid w:val="00D124CF"/>
    <w:rsid w:val="00D136A0"/>
    <w:rsid w:val="00D14D8A"/>
    <w:rsid w:val="00D16E12"/>
    <w:rsid w:val="00D2179C"/>
    <w:rsid w:val="00D26355"/>
    <w:rsid w:val="00D26485"/>
    <w:rsid w:val="00D30BFF"/>
    <w:rsid w:val="00D3150D"/>
    <w:rsid w:val="00D33093"/>
    <w:rsid w:val="00D3527D"/>
    <w:rsid w:val="00D42ED5"/>
    <w:rsid w:val="00D44AB6"/>
    <w:rsid w:val="00D5170D"/>
    <w:rsid w:val="00D52AA6"/>
    <w:rsid w:val="00D53DBB"/>
    <w:rsid w:val="00D5430C"/>
    <w:rsid w:val="00D54BF5"/>
    <w:rsid w:val="00D54CB7"/>
    <w:rsid w:val="00D56939"/>
    <w:rsid w:val="00D57D26"/>
    <w:rsid w:val="00D60391"/>
    <w:rsid w:val="00D635FC"/>
    <w:rsid w:val="00D66263"/>
    <w:rsid w:val="00D66E2D"/>
    <w:rsid w:val="00D66F60"/>
    <w:rsid w:val="00D67838"/>
    <w:rsid w:val="00D71377"/>
    <w:rsid w:val="00D73B60"/>
    <w:rsid w:val="00D73E6A"/>
    <w:rsid w:val="00D74BB2"/>
    <w:rsid w:val="00D75151"/>
    <w:rsid w:val="00D779D9"/>
    <w:rsid w:val="00D77CBB"/>
    <w:rsid w:val="00D80DCE"/>
    <w:rsid w:val="00D81249"/>
    <w:rsid w:val="00D825FB"/>
    <w:rsid w:val="00D83A96"/>
    <w:rsid w:val="00D86CA4"/>
    <w:rsid w:val="00D87886"/>
    <w:rsid w:val="00D90214"/>
    <w:rsid w:val="00D90895"/>
    <w:rsid w:val="00D93E0A"/>
    <w:rsid w:val="00D9463C"/>
    <w:rsid w:val="00D95363"/>
    <w:rsid w:val="00D9767B"/>
    <w:rsid w:val="00D9782B"/>
    <w:rsid w:val="00D97AC6"/>
    <w:rsid w:val="00D97B2D"/>
    <w:rsid w:val="00DA126B"/>
    <w:rsid w:val="00DA144A"/>
    <w:rsid w:val="00DA2EF8"/>
    <w:rsid w:val="00DA365D"/>
    <w:rsid w:val="00DA462F"/>
    <w:rsid w:val="00DA57CC"/>
    <w:rsid w:val="00DA5853"/>
    <w:rsid w:val="00DA5FC8"/>
    <w:rsid w:val="00DB0490"/>
    <w:rsid w:val="00DB08D6"/>
    <w:rsid w:val="00DB1966"/>
    <w:rsid w:val="00DB2A44"/>
    <w:rsid w:val="00DB2DC4"/>
    <w:rsid w:val="00DB41BC"/>
    <w:rsid w:val="00DB4FC8"/>
    <w:rsid w:val="00DC1076"/>
    <w:rsid w:val="00DC2646"/>
    <w:rsid w:val="00DC78DB"/>
    <w:rsid w:val="00DD274A"/>
    <w:rsid w:val="00DD29F0"/>
    <w:rsid w:val="00DD4655"/>
    <w:rsid w:val="00DD5A30"/>
    <w:rsid w:val="00DD5B8F"/>
    <w:rsid w:val="00DE2487"/>
    <w:rsid w:val="00DE3868"/>
    <w:rsid w:val="00DE3FDE"/>
    <w:rsid w:val="00DE478A"/>
    <w:rsid w:val="00DE492E"/>
    <w:rsid w:val="00DE59FA"/>
    <w:rsid w:val="00DE6977"/>
    <w:rsid w:val="00DF1C63"/>
    <w:rsid w:val="00DF29FB"/>
    <w:rsid w:val="00DF3B37"/>
    <w:rsid w:val="00DF42B7"/>
    <w:rsid w:val="00DF42CF"/>
    <w:rsid w:val="00DF6716"/>
    <w:rsid w:val="00DF70AE"/>
    <w:rsid w:val="00DF7364"/>
    <w:rsid w:val="00DF7490"/>
    <w:rsid w:val="00DF7EF8"/>
    <w:rsid w:val="00E05470"/>
    <w:rsid w:val="00E06E42"/>
    <w:rsid w:val="00E07332"/>
    <w:rsid w:val="00E106A3"/>
    <w:rsid w:val="00E13B41"/>
    <w:rsid w:val="00E17CB7"/>
    <w:rsid w:val="00E2170C"/>
    <w:rsid w:val="00E2334A"/>
    <w:rsid w:val="00E23D7D"/>
    <w:rsid w:val="00E27022"/>
    <w:rsid w:val="00E278A4"/>
    <w:rsid w:val="00E30329"/>
    <w:rsid w:val="00E32274"/>
    <w:rsid w:val="00E33F2E"/>
    <w:rsid w:val="00E353FF"/>
    <w:rsid w:val="00E36D85"/>
    <w:rsid w:val="00E40C94"/>
    <w:rsid w:val="00E40F7D"/>
    <w:rsid w:val="00E41A82"/>
    <w:rsid w:val="00E4585B"/>
    <w:rsid w:val="00E46560"/>
    <w:rsid w:val="00E4660E"/>
    <w:rsid w:val="00E4752A"/>
    <w:rsid w:val="00E47F4C"/>
    <w:rsid w:val="00E53036"/>
    <w:rsid w:val="00E5581C"/>
    <w:rsid w:val="00E5699C"/>
    <w:rsid w:val="00E6120A"/>
    <w:rsid w:val="00E61413"/>
    <w:rsid w:val="00E62753"/>
    <w:rsid w:val="00E67255"/>
    <w:rsid w:val="00E673EE"/>
    <w:rsid w:val="00E67BEB"/>
    <w:rsid w:val="00E67C95"/>
    <w:rsid w:val="00E706E1"/>
    <w:rsid w:val="00E70856"/>
    <w:rsid w:val="00E71017"/>
    <w:rsid w:val="00E71377"/>
    <w:rsid w:val="00E71941"/>
    <w:rsid w:val="00E71F13"/>
    <w:rsid w:val="00E73B2A"/>
    <w:rsid w:val="00E73EFE"/>
    <w:rsid w:val="00E74119"/>
    <w:rsid w:val="00E74B48"/>
    <w:rsid w:val="00E74EDC"/>
    <w:rsid w:val="00E75C43"/>
    <w:rsid w:val="00E765B2"/>
    <w:rsid w:val="00E77234"/>
    <w:rsid w:val="00E77371"/>
    <w:rsid w:val="00E821BA"/>
    <w:rsid w:val="00E825B2"/>
    <w:rsid w:val="00E82AA2"/>
    <w:rsid w:val="00E83351"/>
    <w:rsid w:val="00E83695"/>
    <w:rsid w:val="00E83741"/>
    <w:rsid w:val="00E83E87"/>
    <w:rsid w:val="00E83EB1"/>
    <w:rsid w:val="00E843F6"/>
    <w:rsid w:val="00E84C53"/>
    <w:rsid w:val="00E84FC8"/>
    <w:rsid w:val="00E86ADC"/>
    <w:rsid w:val="00E86DD8"/>
    <w:rsid w:val="00E878C5"/>
    <w:rsid w:val="00E87AE0"/>
    <w:rsid w:val="00E90091"/>
    <w:rsid w:val="00E908B2"/>
    <w:rsid w:val="00E90F33"/>
    <w:rsid w:val="00E938B4"/>
    <w:rsid w:val="00E95587"/>
    <w:rsid w:val="00E9573A"/>
    <w:rsid w:val="00E96130"/>
    <w:rsid w:val="00E96F72"/>
    <w:rsid w:val="00EA0614"/>
    <w:rsid w:val="00EA1000"/>
    <w:rsid w:val="00EA1DA2"/>
    <w:rsid w:val="00EA20BC"/>
    <w:rsid w:val="00EA2541"/>
    <w:rsid w:val="00EA3041"/>
    <w:rsid w:val="00EA52D3"/>
    <w:rsid w:val="00EA55F8"/>
    <w:rsid w:val="00EA61EB"/>
    <w:rsid w:val="00EA6409"/>
    <w:rsid w:val="00EA7C42"/>
    <w:rsid w:val="00EB0C8A"/>
    <w:rsid w:val="00EB19AE"/>
    <w:rsid w:val="00EB4BA0"/>
    <w:rsid w:val="00EB5901"/>
    <w:rsid w:val="00EB67CA"/>
    <w:rsid w:val="00EB6B3D"/>
    <w:rsid w:val="00EB6BC0"/>
    <w:rsid w:val="00EC0C66"/>
    <w:rsid w:val="00EC1535"/>
    <w:rsid w:val="00EC20C8"/>
    <w:rsid w:val="00EC251A"/>
    <w:rsid w:val="00EC353B"/>
    <w:rsid w:val="00EC4865"/>
    <w:rsid w:val="00EC5847"/>
    <w:rsid w:val="00ED02B4"/>
    <w:rsid w:val="00ED0421"/>
    <w:rsid w:val="00ED0B9A"/>
    <w:rsid w:val="00ED159F"/>
    <w:rsid w:val="00ED269B"/>
    <w:rsid w:val="00ED3ABD"/>
    <w:rsid w:val="00ED5A59"/>
    <w:rsid w:val="00ED5DFA"/>
    <w:rsid w:val="00ED725F"/>
    <w:rsid w:val="00EE1185"/>
    <w:rsid w:val="00EE5B5E"/>
    <w:rsid w:val="00EE6872"/>
    <w:rsid w:val="00EF0DA6"/>
    <w:rsid w:val="00EF14A6"/>
    <w:rsid w:val="00EF2688"/>
    <w:rsid w:val="00EF2F42"/>
    <w:rsid w:val="00EF3001"/>
    <w:rsid w:val="00EF4B41"/>
    <w:rsid w:val="00EF6C15"/>
    <w:rsid w:val="00F018F8"/>
    <w:rsid w:val="00F0382E"/>
    <w:rsid w:val="00F03B80"/>
    <w:rsid w:val="00F05F24"/>
    <w:rsid w:val="00F133A9"/>
    <w:rsid w:val="00F14258"/>
    <w:rsid w:val="00F14FB4"/>
    <w:rsid w:val="00F173E5"/>
    <w:rsid w:val="00F20EB2"/>
    <w:rsid w:val="00F21DF7"/>
    <w:rsid w:val="00F224D3"/>
    <w:rsid w:val="00F22CFD"/>
    <w:rsid w:val="00F23AF7"/>
    <w:rsid w:val="00F27AE6"/>
    <w:rsid w:val="00F27B7B"/>
    <w:rsid w:val="00F31371"/>
    <w:rsid w:val="00F3251A"/>
    <w:rsid w:val="00F32E80"/>
    <w:rsid w:val="00F348F3"/>
    <w:rsid w:val="00F37F16"/>
    <w:rsid w:val="00F414DF"/>
    <w:rsid w:val="00F419F1"/>
    <w:rsid w:val="00F44F1D"/>
    <w:rsid w:val="00F4641A"/>
    <w:rsid w:val="00F5236A"/>
    <w:rsid w:val="00F5330C"/>
    <w:rsid w:val="00F53F4D"/>
    <w:rsid w:val="00F549F3"/>
    <w:rsid w:val="00F56378"/>
    <w:rsid w:val="00F5726F"/>
    <w:rsid w:val="00F57726"/>
    <w:rsid w:val="00F602E1"/>
    <w:rsid w:val="00F60B34"/>
    <w:rsid w:val="00F613E6"/>
    <w:rsid w:val="00F61B0B"/>
    <w:rsid w:val="00F6372D"/>
    <w:rsid w:val="00F64461"/>
    <w:rsid w:val="00F703F9"/>
    <w:rsid w:val="00F70792"/>
    <w:rsid w:val="00F708AC"/>
    <w:rsid w:val="00F75179"/>
    <w:rsid w:val="00F776BD"/>
    <w:rsid w:val="00F811DD"/>
    <w:rsid w:val="00F82E39"/>
    <w:rsid w:val="00F836A5"/>
    <w:rsid w:val="00F83C5F"/>
    <w:rsid w:val="00F84287"/>
    <w:rsid w:val="00F8445A"/>
    <w:rsid w:val="00F84D1C"/>
    <w:rsid w:val="00F85461"/>
    <w:rsid w:val="00F85766"/>
    <w:rsid w:val="00F859AB"/>
    <w:rsid w:val="00F85DC1"/>
    <w:rsid w:val="00F912ED"/>
    <w:rsid w:val="00F9371F"/>
    <w:rsid w:val="00F93B35"/>
    <w:rsid w:val="00F94C69"/>
    <w:rsid w:val="00F95254"/>
    <w:rsid w:val="00F97766"/>
    <w:rsid w:val="00FA0235"/>
    <w:rsid w:val="00FA068C"/>
    <w:rsid w:val="00FA2262"/>
    <w:rsid w:val="00FA2DB9"/>
    <w:rsid w:val="00FA31B1"/>
    <w:rsid w:val="00FA6A91"/>
    <w:rsid w:val="00FB1761"/>
    <w:rsid w:val="00FB1E0C"/>
    <w:rsid w:val="00FB284E"/>
    <w:rsid w:val="00FB2A01"/>
    <w:rsid w:val="00FB3100"/>
    <w:rsid w:val="00FB471E"/>
    <w:rsid w:val="00FB7370"/>
    <w:rsid w:val="00FB7487"/>
    <w:rsid w:val="00FC2245"/>
    <w:rsid w:val="00FC3004"/>
    <w:rsid w:val="00FC49FD"/>
    <w:rsid w:val="00FC5C7B"/>
    <w:rsid w:val="00FC6C88"/>
    <w:rsid w:val="00FD1898"/>
    <w:rsid w:val="00FD2444"/>
    <w:rsid w:val="00FD26B9"/>
    <w:rsid w:val="00FD281A"/>
    <w:rsid w:val="00FD47F5"/>
    <w:rsid w:val="00FD49E8"/>
    <w:rsid w:val="00FD4B9A"/>
    <w:rsid w:val="00FD5319"/>
    <w:rsid w:val="00FD62AF"/>
    <w:rsid w:val="00FD7768"/>
    <w:rsid w:val="00FE05BD"/>
    <w:rsid w:val="00FE0FEB"/>
    <w:rsid w:val="00FE4782"/>
    <w:rsid w:val="00FE6037"/>
    <w:rsid w:val="00FF03D3"/>
    <w:rsid w:val="00FF2519"/>
    <w:rsid w:val="00FF3A1D"/>
    <w:rsid w:val="00FF49B5"/>
    <w:rsid w:val="00FF5E4F"/>
    <w:rsid w:val="00FF6A19"/>
    <w:rsid w:val="00FF6A7F"/>
    <w:rsid w:val="09AE1F7F"/>
    <w:rsid w:val="104E0C42"/>
    <w:rsid w:val="1250708D"/>
    <w:rsid w:val="373B355A"/>
    <w:rsid w:val="37FD4032"/>
    <w:rsid w:val="39997753"/>
    <w:rsid w:val="49300D9D"/>
    <w:rsid w:val="57F5519F"/>
    <w:rsid w:val="6E0913A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qFormat="1" w:unhideWhenUsed="0" w:uiPriority="0" w:semiHidden="0"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iPriority="39" w:semiHidden="0" w:name="toc 7"/>
    <w:lsdException w:qFormat="1" w:unhideWhenUsed="0" w:uiPriority="39" w:semiHidden="0" w:name="toc 8"/>
    <w:lsdException w:qFormat="1" w:uiPriority="39" w:semiHidden="0" w:name="toc 9"/>
    <w:lsdException w:qFormat="1" w:uiPriority="0" w:semiHidden="0" w:name="Normal Indent"/>
    <w:lsdException w:uiPriority="99" w:name="footnote text"/>
    <w:lsdException w:qFormat="1" w:uiPriority="0" w:name="annotation text"/>
    <w:lsdException w:qFormat="1" w:uiPriority="0"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uiPriority="99" w:name="Body Text First Indent"/>
    <w:lsdException w:uiPriority="99"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仿宋_GB2312" w:cstheme="minorBidi"/>
      <w:kern w:val="2"/>
      <w:sz w:val="24"/>
      <w:szCs w:val="22"/>
      <w:lang w:val="en-US" w:eastAsia="zh-CN" w:bidi="ar-SA"/>
    </w:rPr>
  </w:style>
  <w:style w:type="paragraph" w:styleId="2">
    <w:name w:val="heading 1"/>
    <w:basedOn w:val="1"/>
    <w:next w:val="1"/>
    <w:link w:val="51"/>
    <w:qFormat/>
    <w:uiPriority w:val="0"/>
    <w:pPr>
      <w:keepNext/>
      <w:keepLines/>
      <w:spacing w:after="220"/>
      <w:ind w:firstLine="0" w:firstLineChars="0"/>
      <w:outlineLvl w:val="0"/>
    </w:pPr>
    <w:rPr>
      <w:rFonts w:eastAsia="黑体"/>
      <w:bCs/>
      <w:kern w:val="44"/>
      <w:sz w:val="32"/>
      <w:szCs w:val="44"/>
    </w:rPr>
  </w:style>
  <w:style w:type="paragraph" w:styleId="3">
    <w:name w:val="heading 2"/>
    <w:basedOn w:val="1"/>
    <w:next w:val="1"/>
    <w:link w:val="52"/>
    <w:autoRedefine/>
    <w:unhideWhenUsed/>
    <w:qFormat/>
    <w:uiPriority w:val="0"/>
    <w:pPr>
      <w:keepNext/>
      <w:keepLines/>
      <w:ind w:firstLine="0" w:firstLineChars="0"/>
      <w:outlineLvl w:val="1"/>
    </w:pPr>
    <w:rPr>
      <w:rFonts w:eastAsia="宋体" w:cstheme="majorBidi"/>
      <w:bCs/>
      <w:sz w:val="28"/>
      <w:szCs w:val="32"/>
    </w:rPr>
  </w:style>
  <w:style w:type="paragraph" w:styleId="4">
    <w:name w:val="heading 3"/>
    <w:basedOn w:val="1"/>
    <w:next w:val="1"/>
    <w:link w:val="53"/>
    <w:unhideWhenUsed/>
    <w:qFormat/>
    <w:uiPriority w:val="0"/>
    <w:pPr>
      <w:keepNext/>
      <w:keepLines/>
      <w:ind w:firstLine="0" w:firstLineChars="0"/>
      <w:outlineLvl w:val="2"/>
    </w:pPr>
    <w:rPr>
      <w:rFonts w:eastAsia="黑体"/>
      <w:bCs/>
      <w:szCs w:val="32"/>
    </w:rPr>
  </w:style>
  <w:style w:type="paragraph" w:styleId="5">
    <w:name w:val="heading 4"/>
    <w:basedOn w:val="1"/>
    <w:next w:val="1"/>
    <w:link w:val="77"/>
    <w:autoRedefine/>
    <w:unhideWhenUsed/>
    <w:qFormat/>
    <w:uiPriority w:val="0"/>
    <w:pPr>
      <w:keepNext/>
      <w:keepLines/>
      <w:spacing w:before="280" w:after="290" w:line="376" w:lineRule="auto"/>
      <w:ind w:firstLine="0" w:firstLineChars="0"/>
      <w:outlineLvl w:val="3"/>
    </w:pPr>
    <w:rPr>
      <w:rFonts w:ascii="等线 Light" w:hAnsi="等线 Light" w:eastAsia="等线 Light" w:cs="Times New Roman"/>
      <w:b/>
      <w:bCs/>
      <w:sz w:val="28"/>
      <w:szCs w:val="28"/>
    </w:rPr>
  </w:style>
  <w:style w:type="paragraph" w:styleId="6">
    <w:name w:val="heading 5"/>
    <w:basedOn w:val="1"/>
    <w:next w:val="1"/>
    <w:link w:val="78"/>
    <w:qFormat/>
    <w:uiPriority w:val="0"/>
    <w:pPr>
      <w:keepNext/>
      <w:keepLines/>
      <w:widowControl/>
      <w:spacing w:before="280" w:after="290" w:line="376" w:lineRule="auto"/>
      <w:jc w:val="left"/>
      <w:outlineLvl w:val="4"/>
    </w:pPr>
    <w:rPr>
      <w:rFonts w:ascii="宋体" w:hAnsi="宋体" w:eastAsia="宋体" w:cs="宋体"/>
      <w:b/>
      <w:bCs/>
      <w:color w:val="000000"/>
      <w:kern w:val="0"/>
      <w:sz w:val="28"/>
      <w:szCs w:val="28"/>
    </w:rPr>
  </w:style>
  <w:style w:type="paragraph" w:styleId="7">
    <w:name w:val="heading 6"/>
    <w:basedOn w:val="1"/>
    <w:next w:val="1"/>
    <w:link w:val="79"/>
    <w:qFormat/>
    <w:uiPriority w:val="0"/>
    <w:pPr>
      <w:keepNext/>
      <w:keepLines/>
      <w:widowControl/>
      <w:spacing w:before="240" w:after="64" w:line="320" w:lineRule="auto"/>
      <w:jc w:val="left"/>
      <w:outlineLvl w:val="5"/>
    </w:pPr>
    <w:rPr>
      <w:rFonts w:ascii="Arial" w:hAnsi="Arial" w:eastAsia="黑体" w:cs="宋体"/>
      <w:b/>
      <w:bCs/>
      <w:color w:val="000000"/>
      <w:kern w:val="0"/>
      <w:szCs w:val="24"/>
    </w:rPr>
  </w:style>
  <w:style w:type="paragraph" w:styleId="8">
    <w:name w:val="heading 8"/>
    <w:basedOn w:val="1"/>
    <w:next w:val="1"/>
    <w:link w:val="201"/>
    <w:autoRedefine/>
    <w:semiHidden/>
    <w:unhideWhenUsed/>
    <w:qFormat/>
    <w:uiPriority w:val="9"/>
    <w:pPr>
      <w:keepNext/>
      <w:keepLines/>
      <w:spacing w:before="240" w:after="64" w:line="320" w:lineRule="auto"/>
      <w:outlineLvl w:val="7"/>
    </w:pPr>
    <w:rPr>
      <w:rFonts w:asciiTheme="majorHAnsi" w:hAnsiTheme="majorHAnsi" w:eastAsiaTheme="majorEastAsia" w:cstheme="majorBidi"/>
      <w:szCs w:val="24"/>
    </w:rPr>
  </w:style>
  <w:style w:type="character" w:default="1" w:styleId="45">
    <w:name w:val="Default Paragraph Font"/>
    <w:semiHidden/>
    <w:unhideWhenUsed/>
    <w:uiPriority w:val="1"/>
  </w:style>
  <w:style w:type="table" w:default="1" w:styleId="43">
    <w:name w:val="Normal Table"/>
    <w:semiHidden/>
    <w:unhideWhenUsed/>
    <w:uiPriority w:val="99"/>
    <w:tblPr>
      <w:tblCellMar>
        <w:top w:w="0" w:type="dxa"/>
        <w:left w:w="108" w:type="dxa"/>
        <w:bottom w:w="0" w:type="dxa"/>
        <w:right w:w="108" w:type="dxa"/>
      </w:tblCellMar>
    </w:tblPr>
  </w:style>
  <w:style w:type="paragraph" w:styleId="9">
    <w:name w:val="toc 7"/>
    <w:basedOn w:val="1"/>
    <w:next w:val="1"/>
    <w:unhideWhenUsed/>
    <w:qFormat/>
    <w:uiPriority w:val="39"/>
    <w:pPr>
      <w:spacing w:line="240" w:lineRule="auto"/>
      <w:ind w:left="1260" w:firstLine="0" w:firstLineChars="0"/>
      <w:jc w:val="left"/>
    </w:pPr>
    <w:rPr>
      <w:rFonts w:ascii="等线" w:hAnsi="等线" w:eastAsia="等线" w:cs="Times New Roman"/>
      <w:sz w:val="18"/>
      <w:szCs w:val="18"/>
    </w:rPr>
  </w:style>
  <w:style w:type="paragraph" w:styleId="10">
    <w:name w:val="Note Heading"/>
    <w:basedOn w:val="1"/>
    <w:next w:val="1"/>
    <w:link w:val="167"/>
    <w:qFormat/>
    <w:uiPriority w:val="0"/>
    <w:pPr>
      <w:widowControl/>
      <w:adjustRightInd w:val="0"/>
      <w:spacing w:line="529" w:lineRule="exact"/>
      <w:ind w:firstLine="480" w:firstLineChars="0"/>
      <w:jc w:val="center"/>
      <w:textAlignment w:val="baseline"/>
    </w:pPr>
    <w:rPr>
      <w:rFonts w:ascii="Arial Narrow" w:hAnsi="Arial Narrow" w:eastAsia="宋体" w:cs="宋体"/>
      <w:kern w:val="0"/>
      <w:szCs w:val="20"/>
    </w:rPr>
  </w:style>
  <w:style w:type="paragraph" w:styleId="11">
    <w:name w:val="Normal Indent"/>
    <w:basedOn w:val="1"/>
    <w:link w:val="75"/>
    <w:autoRedefine/>
    <w:unhideWhenUsed/>
    <w:qFormat/>
    <w:uiPriority w:val="0"/>
    <w:pPr>
      <w:ind w:firstLine="420"/>
    </w:pPr>
  </w:style>
  <w:style w:type="paragraph" w:styleId="12">
    <w:name w:val="caption"/>
    <w:basedOn w:val="1"/>
    <w:next w:val="1"/>
    <w:link w:val="189"/>
    <w:autoRedefine/>
    <w:unhideWhenUsed/>
    <w:qFormat/>
    <w:uiPriority w:val="0"/>
    <w:pPr>
      <w:ind w:firstLine="0" w:firstLineChars="0"/>
      <w:jc w:val="center"/>
    </w:pPr>
    <w:rPr>
      <w:rFonts w:eastAsia="宋体" w:cs="Times New Roman (标题 CS)"/>
      <w:b/>
      <w:szCs w:val="20"/>
    </w:rPr>
  </w:style>
  <w:style w:type="paragraph" w:styleId="13">
    <w:name w:val="Document Map"/>
    <w:basedOn w:val="1"/>
    <w:link w:val="57"/>
    <w:autoRedefine/>
    <w:semiHidden/>
    <w:unhideWhenUsed/>
    <w:qFormat/>
    <w:uiPriority w:val="0"/>
    <w:rPr>
      <w:rFonts w:ascii="宋体"/>
      <w:sz w:val="18"/>
      <w:szCs w:val="18"/>
    </w:rPr>
  </w:style>
  <w:style w:type="paragraph" w:styleId="14">
    <w:name w:val="annotation text"/>
    <w:basedOn w:val="1"/>
    <w:link w:val="64"/>
    <w:autoRedefine/>
    <w:semiHidden/>
    <w:unhideWhenUsed/>
    <w:qFormat/>
    <w:uiPriority w:val="0"/>
    <w:pPr>
      <w:jc w:val="left"/>
    </w:pPr>
  </w:style>
  <w:style w:type="paragraph" w:styleId="15">
    <w:name w:val="Body Text 3"/>
    <w:basedOn w:val="1"/>
    <w:link w:val="103"/>
    <w:autoRedefine/>
    <w:qFormat/>
    <w:uiPriority w:val="0"/>
    <w:pPr>
      <w:spacing w:after="120" w:line="240" w:lineRule="auto"/>
      <w:ind w:firstLine="0" w:firstLineChars="0"/>
    </w:pPr>
    <w:rPr>
      <w:rFonts w:eastAsia="宋体" w:cs="Times New Roman"/>
      <w:sz w:val="16"/>
      <w:szCs w:val="16"/>
    </w:rPr>
  </w:style>
  <w:style w:type="paragraph" w:styleId="16">
    <w:name w:val="Body Text"/>
    <w:basedOn w:val="1"/>
    <w:link w:val="102"/>
    <w:autoRedefine/>
    <w:qFormat/>
    <w:uiPriority w:val="0"/>
    <w:pPr>
      <w:spacing w:after="120" w:line="240" w:lineRule="auto"/>
      <w:ind w:firstLine="0" w:firstLineChars="0"/>
    </w:pPr>
    <w:rPr>
      <w:rFonts w:eastAsia="宋体" w:cs="Times New Roman"/>
      <w:sz w:val="21"/>
      <w:szCs w:val="24"/>
    </w:rPr>
  </w:style>
  <w:style w:type="paragraph" w:styleId="17">
    <w:name w:val="Body Text Indent"/>
    <w:basedOn w:val="1"/>
    <w:link w:val="139"/>
    <w:autoRedefine/>
    <w:qFormat/>
    <w:uiPriority w:val="0"/>
    <w:pPr>
      <w:spacing w:line="480" w:lineRule="atLeast"/>
      <w:ind w:firstLine="480"/>
    </w:pPr>
    <w:rPr>
      <w:rFonts w:eastAsia="宋体" w:cs="Times New Roman"/>
      <w:color w:val="000000"/>
      <w:szCs w:val="24"/>
    </w:rPr>
  </w:style>
  <w:style w:type="paragraph" w:styleId="18">
    <w:name w:val="List 2"/>
    <w:basedOn w:val="1"/>
    <w:qFormat/>
    <w:uiPriority w:val="0"/>
    <w:pPr>
      <w:widowControl/>
      <w:suppressAutoHyphens/>
      <w:wordWrap w:val="0"/>
      <w:topLinePunct/>
      <w:adjustRightInd w:val="0"/>
      <w:snapToGrid w:val="0"/>
      <w:spacing w:line="240" w:lineRule="auto"/>
      <w:ind w:firstLine="0" w:firstLineChars="0"/>
      <w:jc w:val="left"/>
    </w:pPr>
    <w:rPr>
      <w:rFonts w:ascii="宋体" w:hAnsi="宋体" w:eastAsia="宋体" w:cs="宋体"/>
      <w:snapToGrid w:val="0"/>
      <w:kern w:val="0"/>
      <w:szCs w:val="24"/>
    </w:rPr>
  </w:style>
  <w:style w:type="paragraph" w:styleId="19">
    <w:name w:val="Block Text"/>
    <w:basedOn w:val="1"/>
    <w:qFormat/>
    <w:uiPriority w:val="0"/>
    <w:pPr>
      <w:widowControl/>
      <w:spacing w:line="240" w:lineRule="exact"/>
      <w:ind w:left="-42" w:leftChars="-20" w:right="-42" w:rightChars="-20" w:firstLine="0" w:firstLineChars="0"/>
      <w:jc w:val="left"/>
    </w:pPr>
    <w:rPr>
      <w:rFonts w:ascii="宋体" w:hAnsi="宋体" w:eastAsia="宋体" w:cs="宋体"/>
      <w:color w:val="000000"/>
      <w:kern w:val="0"/>
      <w:sz w:val="18"/>
      <w:szCs w:val="18"/>
    </w:rPr>
  </w:style>
  <w:style w:type="paragraph" w:styleId="20">
    <w:name w:val="toc 5"/>
    <w:basedOn w:val="1"/>
    <w:next w:val="1"/>
    <w:qFormat/>
    <w:uiPriority w:val="39"/>
    <w:pPr>
      <w:spacing w:line="240" w:lineRule="auto"/>
      <w:ind w:left="840" w:firstLine="0" w:firstLineChars="0"/>
      <w:jc w:val="left"/>
    </w:pPr>
    <w:rPr>
      <w:rFonts w:ascii="等线" w:hAnsi="等线" w:eastAsia="等线" w:cs="Times New Roman"/>
      <w:sz w:val="18"/>
      <w:szCs w:val="18"/>
    </w:rPr>
  </w:style>
  <w:style w:type="paragraph" w:styleId="21">
    <w:name w:val="toc 3"/>
    <w:basedOn w:val="1"/>
    <w:next w:val="1"/>
    <w:autoRedefine/>
    <w:unhideWhenUsed/>
    <w:qFormat/>
    <w:uiPriority w:val="39"/>
    <w:pPr>
      <w:widowControl/>
      <w:tabs>
        <w:tab w:val="left" w:pos="1560"/>
        <w:tab w:val="right" w:leader="dot" w:pos="8296"/>
      </w:tabs>
      <w:spacing w:line="336" w:lineRule="auto"/>
      <w:ind w:left="851" w:hanging="2" w:firstLineChars="0"/>
      <w:jc w:val="left"/>
    </w:pPr>
    <w:rPr>
      <w:rFonts w:asciiTheme="minorHAnsi" w:hAnsiTheme="minorHAnsi" w:eastAsiaTheme="minorEastAsia"/>
      <w:kern w:val="0"/>
      <w:sz w:val="22"/>
    </w:rPr>
  </w:style>
  <w:style w:type="paragraph" w:styleId="22">
    <w:name w:val="Plain Text"/>
    <w:basedOn w:val="1"/>
    <w:link w:val="106"/>
    <w:qFormat/>
    <w:uiPriority w:val="0"/>
    <w:pPr>
      <w:spacing w:line="240" w:lineRule="auto"/>
      <w:ind w:firstLine="0" w:firstLineChars="0"/>
    </w:pPr>
    <w:rPr>
      <w:rFonts w:hint="eastAsia" w:ascii="宋体" w:hAnsi="Courier New" w:eastAsia="宋体" w:cs="Courier New"/>
      <w:sz w:val="21"/>
      <w:szCs w:val="21"/>
    </w:rPr>
  </w:style>
  <w:style w:type="paragraph" w:styleId="23">
    <w:name w:val="toc 8"/>
    <w:basedOn w:val="1"/>
    <w:next w:val="1"/>
    <w:qFormat/>
    <w:uiPriority w:val="39"/>
    <w:pPr>
      <w:spacing w:line="240" w:lineRule="auto"/>
      <w:ind w:left="1470" w:firstLine="0" w:firstLineChars="0"/>
      <w:jc w:val="left"/>
    </w:pPr>
    <w:rPr>
      <w:rFonts w:ascii="等线" w:hAnsi="等线" w:eastAsia="等线" w:cs="Times New Roman"/>
      <w:sz w:val="18"/>
      <w:szCs w:val="18"/>
    </w:rPr>
  </w:style>
  <w:style w:type="paragraph" w:styleId="24">
    <w:name w:val="Date"/>
    <w:basedOn w:val="1"/>
    <w:next w:val="1"/>
    <w:link w:val="56"/>
    <w:autoRedefine/>
    <w:unhideWhenUsed/>
    <w:qFormat/>
    <w:uiPriority w:val="0"/>
    <w:pPr>
      <w:ind w:left="100" w:leftChars="2500"/>
    </w:pPr>
  </w:style>
  <w:style w:type="paragraph" w:styleId="25">
    <w:name w:val="Body Text Indent 2"/>
    <w:basedOn w:val="1"/>
    <w:link w:val="138"/>
    <w:autoRedefine/>
    <w:qFormat/>
    <w:uiPriority w:val="0"/>
    <w:pPr>
      <w:spacing w:line="480" w:lineRule="atLeast"/>
      <w:ind w:firstLine="480"/>
    </w:pPr>
    <w:rPr>
      <w:rFonts w:eastAsia="宋体" w:cs="Times New Roman"/>
      <w:szCs w:val="24"/>
    </w:rPr>
  </w:style>
  <w:style w:type="paragraph" w:styleId="26">
    <w:name w:val="Balloon Text"/>
    <w:basedOn w:val="1"/>
    <w:link w:val="59"/>
    <w:autoRedefine/>
    <w:semiHidden/>
    <w:unhideWhenUsed/>
    <w:qFormat/>
    <w:uiPriority w:val="0"/>
    <w:pPr>
      <w:spacing w:line="240" w:lineRule="auto"/>
    </w:pPr>
    <w:rPr>
      <w:sz w:val="18"/>
      <w:szCs w:val="18"/>
    </w:rPr>
  </w:style>
  <w:style w:type="paragraph" w:styleId="27">
    <w:name w:val="footer"/>
    <w:basedOn w:val="1"/>
    <w:link w:val="55"/>
    <w:autoRedefine/>
    <w:unhideWhenUsed/>
    <w:qFormat/>
    <w:uiPriority w:val="99"/>
    <w:pPr>
      <w:tabs>
        <w:tab w:val="center" w:pos="4153"/>
        <w:tab w:val="right" w:pos="8306"/>
      </w:tabs>
      <w:snapToGrid w:val="0"/>
      <w:jc w:val="left"/>
    </w:pPr>
    <w:rPr>
      <w:sz w:val="18"/>
      <w:szCs w:val="18"/>
    </w:rPr>
  </w:style>
  <w:style w:type="paragraph" w:styleId="28">
    <w:name w:val="header"/>
    <w:basedOn w:val="1"/>
    <w:link w:val="54"/>
    <w:unhideWhenUsed/>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autoRedefine/>
    <w:unhideWhenUsed/>
    <w:qFormat/>
    <w:uiPriority w:val="39"/>
    <w:pPr>
      <w:widowControl/>
      <w:tabs>
        <w:tab w:val="left" w:pos="440"/>
        <w:tab w:val="right" w:leader="dot" w:pos="8296"/>
      </w:tabs>
      <w:spacing w:line="276" w:lineRule="auto"/>
      <w:ind w:firstLine="0" w:firstLineChars="0"/>
      <w:jc w:val="left"/>
    </w:pPr>
    <w:rPr>
      <w:b/>
      <w:kern w:val="0"/>
    </w:rPr>
  </w:style>
  <w:style w:type="paragraph" w:styleId="30">
    <w:name w:val="toc 4"/>
    <w:basedOn w:val="1"/>
    <w:next w:val="1"/>
    <w:qFormat/>
    <w:uiPriority w:val="39"/>
    <w:pPr>
      <w:spacing w:line="240" w:lineRule="auto"/>
      <w:ind w:left="630" w:firstLine="0" w:firstLineChars="0"/>
      <w:jc w:val="left"/>
    </w:pPr>
    <w:rPr>
      <w:rFonts w:ascii="等线" w:hAnsi="等线" w:eastAsia="等线" w:cs="Times New Roman"/>
      <w:sz w:val="18"/>
      <w:szCs w:val="18"/>
    </w:rPr>
  </w:style>
  <w:style w:type="paragraph" w:styleId="31">
    <w:name w:val="Subtitle"/>
    <w:basedOn w:val="1"/>
    <w:next w:val="1"/>
    <w:link w:val="72"/>
    <w:autoRedefine/>
    <w:qFormat/>
    <w:uiPriority w:val="0"/>
    <w:pPr>
      <w:spacing w:beforeLines="50" w:afterLines="50"/>
      <w:ind w:firstLine="0" w:firstLineChars="0"/>
      <w:jc w:val="left"/>
      <w:outlineLvl w:val="1"/>
    </w:pPr>
    <w:rPr>
      <w:rFonts w:asciiTheme="minorHAnsi" w:hAnsiTheme="minorHAnsi" w:eastAsiaTheme="minorEastAsia"/>
      <w:b/>
      <w:bCs/>
      <w:kern w:val="28"/>
      <w:sz w:val="32"/>
      <w:szCs w:val="32"/>
    </w:rPr>
  </w:style>
  <w:style w:type="paragraph" w:styleId="32">
    <w:name w:val="List"/>
    <w:basedOn w:val="1"/>
    <w:autoRedefine/>
    <w:qFormat/>
    <w:uiPriority w:val="0"/>
    <w:pPr>
      <w:widowControl/>
      <w:spacing w:line="240" w:lineRule="auto"/>
      <w:ind w:left="200" w:hanging="200" w:hangingChars="200"/>
      <w:jc w:val="left"/>
    </w:pPr>
    <w:rPr>
      <w:rFonts w:ascii="宋体" w:hAnsi="宋体" w:eastAsia="宋体" w:cs="宋体"/>
      <w:kern w:val="0"/>
      <w:szCs w:val="24"/>
    </w:rPr>
  </w:style>
  <w:style w:type="paragraph" w:styleId="33">
    <w:name w:val="toc 6"/>
    <w:basedOn w:val="1"/>
    <w:next w:val="1"/>
    <w:autoRedefine/>
    <w:qFormat/>
    <w:uiPriority w:val="39"/>
    <w:pPr>
      <w:spacing w:line="240" w:lineRule="auto"/>
      <w:ind w:left="1050" w:firstLine="0" w:firstLineChars="0"/>
      <w:jc w:val="left"/>
    </w:pPr>
    <w:rPr>
      <w:rFonts w:ascii="等线" w:hAnsi="等线" w:eastAsia="等线" w:cs="Times New Roman"/>
      <w:sz w:val="18"/>
      <w:szCs w:val="18"/>
    </w:rPr>
  </w:style>
  <w:style w:type="paragraph" w:styleId="34">
    <w:name w:val="Body Text Indent 3"/>
    <w:basedOn w:val="1"/>
    <w:link w:val="164"/>
    <w:autoRedefine/>
    <w:qFormat/>
    <w:uiPriority w:val="0"/>
    <w:pPr>
      <w:widowControl/>
      <w:spacing w:after="120" w:line="240" w:lineRule="auto"/>
      <w:ind w:left="420" w:leftChars="200" w:firstLine="0" w:firstLineChars="0"/>
      <w:jc w:val="left"/>
    </w:pPr>
    <w:rPr>
      <w:rFonts w:ascii="宋体" w:hAnsi="宋体" w:eastAsia="宋体" w:cs="宋体"/>
      <w:kern w:val="0"/>
      <w:sz w:val="16"/>
      <w:szCs w:val="16"/>
    </w:rPr>
  </w:style>
  <w:style w:type="paragraph" w:styleId="35">
    <w:name w:val="toc 2"/>
    <w:basedOn w:val="1"/>
    <w:next w:val="1"/>
    <w:autoRedefine/>
    <w:unhideWhenUsed/>
    <w:qFormat/>
    <w:uiPriority w:val="39"/>
    <w:pPr>
      <w:widowControl/>
      <w:tabs>
        <w:tab w:val="left" w:pos="840"/>
        <w:tab w:val="right" w:leader="dot" w:pos="8296"/>
      </w:tabs>
      <w:spacing w:after="100" w:line="276" w:lineRule="auto"/>
      <w:ind w:left="425" w:firstLine="0" w:firstLineChars="0"/>
      <w:jc w:val="left"/>
    </w:pPr>
    <w:rPr>
      <w:rFonts w:asciiTheme="minorHAnsi" w:hAnsiTheme="minorHAnsi" w:eastAsiaTheme="minorEastAsia"/>
      <w:kern w:val="0"/>
      <w:sz w:val="22"/>
    </w:rPr>
  </w:style>
  <w:style w:type="paragraph" w:styleId="36">
    <w:name w:val="toc 9"/>
    <w:basedOn w:val="1"/>
    <w:next w:val="1"/>
    <w:autoRedefine/>
    <w:unhideWhenUsed/>
    <w:qFormat/>
    <w:uiPriority w:val="39"/>
    <w:pPr>
      <w:spacing w:line="240" w:lineRule="auto"/>
      <w:ind w:left="1680" w:firstLine="0" w:firstLineChars="0"/>
      <w:jc w:val="left"/>
    </w:pPr>
    <w:rPr>
      <w:rFonts w:ascii="等线" w:hAnsi="等线" w:eastAsia="等线" w:cs="Times New Roman"/>
      <w:sz w:val="18"/>
      <w:szCs w:val="18"/>
    </w:rPr>
  </w:style>
  <w:style w:type="paragraph" w:styleId="37">
    <w:name w:val="Body Text 2"/>
    <w:basedOn w:val="1"/>
    <w:link w:val="159"/>
    <w:autoRedefine/>
    <w:qFormat/>
    <w:uiPriority w:val="0"/>
    <w:pPr>
      <w:widowControl/>
      <w:spacing w:after="120" w:line="480" w:lineRule="auto"/>
      <w:ind w:firstLine="0" w:firstLineChars="0"/>
      <w:jc w:val="left"/>
    </w:pPr>
    <w:rPr>
      <w:rFonts w:ascii="宋体" w:hAnsi="宋体" w:eastAsia="宋体" w:cs="宋体"/>
      <w:kern w:val="0"/>
      <w:szCs w:val="24"/>
    </w:rPr>
  </w:style>
  <w:style w:type="paragraph" w:styleId="38">
    <w:name w:val="HTML Preformatted"/>
    <w:basedOn w:val="1"/>
    <w:link w:val="147"/>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Arial" w:hAnsi="Arial" w:eastAsia="宋体" w:cs="Arial"/>
      <w:kern w:val="0"/>
      <w:szCs w:val="24"/>
    </w:rPr>
  </w:style>
  <w:style w:type="paragraph" w:styleId="39">
    <w:name w:val="Normal (Web)"/>
    <w:basedOn w:val="1"/>
    <w:unhideWhenUsed/>
    <w:qFormat/>
    <w:uiPriority w:val="99"/>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40">
    <w:name w:val="index 2"/>
    <w:basedOn w:val="1"/>
    <w:next w:val="1"/>
    <w:qFormat/>
    <w:uiPriority w:val="0"/>
    <w:pPr>
      <w:widowControl/>
      <w:adjustRightInd w:val="0"/>
      <w:snapToGrid w:val="0"/>
      <w:spacing w:line="240" w:lineRule="auto"/>
      <w:ind w:hanging="210" w:firstLineChars="0"/>
      <w:jc w:val="center"/>
    </w:pPr>
    <w:rPr>
      <w:rFonts w:ascii="宋体" w:hAnsi="宋体" w:eastAsia="宋体" w:cs="宋体"/>
      <w:kern w:val="0"/>
      <w:szCs w:val="24"/>
    </w:rPr>
  </w:style>
  <w:style w:type="paragraph" w:styleId="41">
    <w:name w:val="Title"/>
    <w:basedOn w:val="1"/>
    <w:next w:val="1"/>
    <w:link w:val="58"/>
    <w:qFormat/>
    <w:uiPriority w:val="0"/>
    <w:pPr>
      <w:spacing w:line="240" w:lineRule="auto"/>
      <w:ind w:firstLine="0" w:firstLineChars="0"/>
      <w:jc w:val="center"/>
    </w:pPr>
    <w:rPr>
      <w:rFonts w:ascii="黑体" w:hAnsi="黑体" w:eastAsia="黑体" w:cstheme="majorBidi"/>
      <w:bCs/>
      <w:sz w:val="21"/>
      <w:szCs w:val="32"/>
    </w:rPr>
  </w:style>
  <w:style w:type="paragraph" w:styleId="42">
    <w:name w:val="annotation subject"/>
    <w:basedOn w:val="14"/>
    <w:next w:val="14"/>
    <w:link w:val="65"/>
    <w:autoRedefine/>
    <w:unhideWhenUsed/>
    <w:qFormat/>
    <w:uiPriority w:val="99"/>
    <w:rPr>
      <w:b/>
      <w:bCs/>
    </w:rPr>
  </w:style>
  <w:style w:type="table" w:styleId="44">
    <w:name w:val="Table Grid"/>
    <w:basedOn w:val="43"/>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46">
    <w:name w:val="Strong"/>
    <w:autoRedefine/>
    <w:qFormat/>
    <w:uiPriority w:val="22"/>
    <w:rPr>
      <w:b/>
      <w:bCs/>
    </w:rPr>
  </w:style>
  <w:style w:type="character" w:styleId="47">
    <w:name w:val="page number"/>
    <w:basedOn w:val="45"/>
    <w:qFormat/>
    <w:uiPriority w:val="0"/>
  </w:style>
  <w:style w:type="character" w:styleId="48">
    <w:name w:val="Emphasis"/>
    <w:qFormat/>
    <w:uiPriority w:val="20"/>
    <w:rPr>
      <w:color w:val="CC0033"/>
    </w:rPr>
  </w:style>
  <w:style w:type="character" w:styleId="49">
    <w:name w:val="Hyperlink"/>
    <w:basedOn w:val="45"/>
    <w:unhideWhenUsed/>
    <w:qFormat/>
    <w:uiPriority w:val="99"/>
    <w:rPr>
      <w:color w:val="0000FF" w:themeColor="hyperlink"/>
      <w:u w:val="single"/>
      <w14:textFill>
        <w14:solidFill>
          <w14:schemeClr w14:val="hlink"/>
        </w14:solidFill>
      </w14:textFill>
    </w:rPr>
  </w:style>
  <w:style w:type="character" w:styleId="50">
    <w:name w:val="annotation reference"/>
    <w:basedOn w:val="45"/>
    <w:unhideWhenUsed/>
    <w:qFormat/>
    <w:uiPriority w:val="0"/>
    <w:rPr>
      <w:sz w:val="21"/>
      <w:szCs w:val="21"/>
    </w:rPr>
  </w:style>
  <w:style w:type="character" w:customStyle="1" w:styleId="51">
    <w:name w:val="标题 1 Char1"/>
    <w:basedOn w:val="45"/>
    <w:link w:val="2"/>
    <w:qFormat/>
    <w:uiPriority w:val="0"/>
    <w:rPr>
      <w:rFonts w:ascii="Times New Roman" w:hAnsi="Times New Roman" w:eastAsia="黑体"/>
      <w:bCs/>
      <w:kern w:val="44"/>
      <w:sz w:val="32"/>
      <w:szCs w:val="44"/>
    </w:rPr>
  </w:style>
  <w:style w:type="character" w:customStyle="1" w:styleId="52">
    <w:name w:val="标题 2 Char1"/>
    <w:basedOn w:val="45"/>
    <w:link w:val="3"/>
    <w:autoRedefine/>
    <w:qFormat/>
    <w:uiPriority w:val="0"/>
    <w:rPr>
      <w:rFonts w:ascii="Times New Roman" w:hAnsi="Times New Roman" w:eastAsia="宋体" w:cstheme="majorBidi"/>
      <w:bCs/>
      <w:sz w:val="28"/>
      <w:szCs w:val="32"/>
    </w:rPr>
  </w:style>
  <w:style w:type="character" w:customStyle="1" w:styleId="53">
    <w:name w:val="标题 3 Char1"/>
    <w:basedOn w:val="45"/>
    <w:link w:val="4"/>
    <w:qFormat/>
    <w:uiPriority w:val="0"/>
    <w:rPr>
      <w:rFonts w:ascii="Times New Roman" w:hAnsi="Times New Roman" w:eastAsia="黑体"/>
      <w:bCs/>
      <w:sz w:val="24"/>
      <w:szCs w:val="32"/>
    </w:rPr>
  </w:style>
  <w:style w:type="character" w:customStyle="1" w:styleId="54">
    <w:name w:val="页眉 Char1"/>
    <w:basedOn w:val="45"/>
    <w:link w:val="28"/>
    <w:autoRedefine/>
    <w:qFormat/>
    <w:uiPriority w:val="0"/>
    <w:rPr>
      <w:rFonts w:ascii="Times New Roman" w:hAnsi="Times New Roman" w:eastAsia="宋体"/>
      <w:sz w:val="18"/>
      <w:szCs w:val="18"/>
    </w:rPr>
  </w:style>
  <w:style w:type="character" w:customStyle="1" w:styleId="55">
    <w:name w:val="页脚 Char1"/>
    <w:basedOn w:val="45"/>
    <w:link w:val="27"/>
    <w:autoRedefine/>
    <w:qFormat/>
    <w:uiPriority w:val="99"/>
    <w:rPr>
      <w:rFonts w:ascii="Times New Roman" w:hAnsi="Times New Roman" w:eastAsia="宋体"/>
      <w:sz w:val="18"/>
      <w:szCs w:val="18"/>
    </w:rPr>
  </w:style>
  <w:style w:type="character" w:customStyle="1" w:styleId="56">
    <w:name w:val="日期 Char1"/>
    <w:basedOn w:val="45"/>
    <w:link w:val="24"/>
    <w:qFormat/>
    <w:uiPriority w:val="0"/>
    <w:rPr>
      <w:rFonts w:ascii="Times New Roman" w:hAnsi="Times New Roman" w:eastAsia="宋体"/>
      <w:sz w:val="24"/>
    </w:rPr>
  </w:style>
  <w:style w:type="character" w:customStyle="1" w:styleId="57">
    <w:name w:val="文档结构图 Char1"/>
    <w:basedOn w:val="45"/>
    <w:link w:val="13"/>
    <w:autoRedefine/>
    <w:semiHidden/>
    <w:qFormat/>
    <w:uiPriority w:val="0"/>
    <w:rPr>
      <w:rFonts w:ascii="宋体" w:hAnsi="Times New Roman" w:eastAsia="宋体"/>
      <w:sz w:val="18"/>
      <w:szCs w:val="18"/>
    </w:rPr>
  </w:style>
  <w:style w:type="character" w:customStyle="1" w:styleId="58">
    <w:name w:val="标题 Char1"/>
    <w:basedOn w:val="45"/>
    <w:link w:val="41"/>
    <w:qFormat/>
    <w:uiPriority w:val="10"/>
    <w:rPr>
      <w:rFonts w:ascii="黑体" w:hAnsi="黑体" w:eastAsia="黑体" w:cstheme="majorBidi"/>
      <w:bCs/>
      <w:szCs w:val="32"/>
    </w:rPr>
  </w:style>
  <w:style w:type="character" w:customStyle="1" w:styleId="59">
    <w:name w:val="批注框文本 Char1"/>
    <w:basedOn w:val="45"/>
    <w:link w:val="26"/>
    <w:autoRedefine/>
    <w:semiHidden/>
    <w:qFormat/>
    <w:uiPriority w:val="0"/>
    <w:rPr>
      <w:rFonts w:ascii="Times New Roman" w:hAnsi="Times New Roman" w:eastAsia="宋体"/>
      <w:sz w:val="18"/>
      <w:szCs w:val="18"/>
    </w:rPr>
  </w:style>
  <w:style w:type="paragraph" w:styleId="60">
    <w:name w:val="No Spacing"/>
    <w:link w:val="61"/>
    <w:autoRedefine/>
    <w:qFormat/>
    <w:uiPriority w:val="1"/>
    <w:pPr>
      <w:jc w:val="center"/>
    </w:pPr>
    <w:rPr>
      <w:rFonts w:ascii="黑体" w:hAnsi="黑体" w:eastAsia="黑体" w:cstheme="minorBidi"/>
      <w:sz w:val="21"/>
      <w:szCs w:val="22"/>
      <w:lang w:val="en-US" w:eastAsia="zh-CN" w:bidi="ar-SA"/>
    </w:rPr>
  </w:style>
  <w:style w:type="character" w:customStyle="1" w:styleId="61">
    <w:name w:val="无间隔 Char"/>
    <w:basedOn w:val="45"/>
    <w:link w:val="60"/>
    <w:autoRedefine/>
    <w:qFormat/>
    <w:uiPriority w:val="1"/>
    <w:rPr>
      <w:rFonts w:ascii="黑体" w:hAnsi="黑体" w:eastAsia="黑体"/>
      <w:kern w:val="0"/>
    </w:rPr>
  </w:style>
  <w:style w:type="paragraph" w:styleId="62">
    <w:name w:val="List Paragraph"/>
    <w:basedOn w:val="1"/>
    <w:qFormat/>
    <w:uiPriority w:val="34"/>
    <w:pPr>
      <w:ind w:firstLine="420"/>
    </w:pPr>
  </w:style>
  <w:style w:type="paragraph" w:customStyle="1" w:styleId="63">
    <w:name w:val="7表格(治)"/>
    <w:autoRedefine/>
    <w:qFormat/>
    <w:uiPriority w:val="0"/>
    <w:pPr>
      <w:jc w:val="center"/>
    </w:pPr>
    <w:rPr>
      <w:rFonts w:ascii="Times New Roman" w:hAnsi="Times New Roman" w:eastAsia="楷体_GB2312" w:cs="Times New Roman"/>
      <w:sz w:val="21"/>
      <w:lang w:val="en-US" w:eastAsia="zh-CN" w:bidi="ar-SA"/>
    </w:rPr>
  </w:style>
  <w:style w:type="character" w:customStyle="1" w:styleId="64">
    <w:name w:val="批注文字 Char1"/>
    <w:basedOn w:val="45"/>
    <w:link w:val="14"/>
    <w:semiHidden/>
    <w:qFormat/>
    <w:uiPriority w:val="0"/>
    <w:rPr>
      <w:rFonts w:ascii="Times New Roman" w:hAnsi="Times New Roman" w:eastAsia="宋体"/>
      <w:sz w:val="24"/>
    </w:rPr>
  </w:style>
  <w:style w:type="character" w:customStyle="1" w:styleId="65">
    <w:name w:val="批注主题 Char1"/>
    <w:basedOn w:val="64"/>
    <w:link w:val="42"/>
    <w:qFormat/>
    <w:uiPriority w:val="0"/>
    <w:rPr>
      <w:rFonts w:ascii="Times New Roman" w:hAnsi="Times New Roman" w:eastAsia="宋体"/>
      <w:b/>
      <w:bCs/>
      <w:sz w:val="24"/>
    </w:rPr>
  </w:style>
  <w:style w:type="paragraph" w:customStyle="1" w:styleId="66">
    <w:name w:val="0.anzi正文"/>
    <w:basedOn w:val="11"/>
    <w:autoRedefine/>
    <w:qFormat/>
    <w:uiPriority w:val="0"/>
    <w:pPr>
      <w:ind w:firstLine="200"/>
    </w:pPr>
    <w:rPr>
      <w:rFonts w:cs="宋体"/>
      <w:szCs w:val="24"/>
    </w:rPr>
  </w:style>
  <w:style w:type="paragraph" w:customStyle="1" w:styleId="67">
    <w:name w:val="表格文字"/>
    <w:basedOn w:val="1"/>
    <w:link w:val="68"/>
    <w:qFormat/>
    <w:uiPriority w:val="0"/>
    <w:pPr>
      <w:spacing w:line="240" w:lineRule="auto"/>
      <w:ind w:firstLine="0" w:firstLineChars="0"/>
      <w:jc w:val="center"/>
    </w:pPr>
    <w:rPr>
      <w:rFonts w:eastAsia="宋体" w:cs="Times New Roman"/>
      <w:kern w:val="24"/>
      <w:sz w:val="21"/>
      <w:szCs w:val="20"/>
    </w:rPr>
  </w:style>
  <w:style w:type="character" w:customStyle="1" w:styleId="68">
    <w:name w:val="表格文字 Char"/>
    <w:link w:val="67"/>
    <w:qFormat/>
    <w:uiPriority w:val="0"/>
    <w:rPr>
      <w:rFonts w:ascii="Times New Roman" w:hAnsi="Times New Roman" w:eastAsia="宋体" w:cs="Times New Roman"/>
      <w:kern w:val="24"/>
      <w:szCs w:val="20"/>
    </w:rPr>
  </w:style>
  <w:style w:type="paragraph" w:customStyle="1" w:styleId="69">
    <w:name w:val="表中文字"/>
    <w:basedOn w:val="1"/>
    <w:qFormat/>
    <w:uiPriority w:val="0"/>
    <w:pPr>
      <w:spacing w:line="280" w:lineRule="exact"/>
      <w:ind w:firstLine="0" w:firstLineChars="0"/>
      <w:jc w:val="center"/>
    </w:pPr>
    <w:rPr>
      <w:rFonts w:ascii="宋体" w:hAnsi="宋体" w:cs="Times New Roman"/>
      <w:sz w:val="18"/>
      <w:szCs w:val="18"/>
    </w:rPr>
  </w:style>
  <w:style w:type="paragraph" w:customStyle="1" w:styleId="70">
    <w:name w:val="表格内容"/>
    <w:basedOn w:val="1"/>
    <w:qFormat/>
    <w:uiPriority w:val="0"/>
    <w:pPr>
      <w:spacing w:line="240" w:lineRule="auto"/>
      <w:ind w:firstLine="0" w:firstLineChars="0"/>
      <w:jc w:val="center"/>
    </w:pPr>
    <w:rPr>
      <w:rFonts w:eastAsia="宋体" w:cs="Times New Roman"/>
      <w:sz w:val="21"/>
      <w:szCs w:val="24"/>
    </w:rPr>
  </w:style>
  <w:style w:type="character" w:customStyle="1" w:styleId="71">
    <w:name w:val="副标题 Char"/>
    <w:autoRedefine/>
    <w:qFormat/>
    <w:uiPriority w:val="0"/>
    <w:rPr>
      <w:b/>
      <w:bCs/>
      <w:kern w:val="28"/>
      <w:sz w:val="32"/>
      <w:szCs w:val="32"/>
    </w:rPr>
  </w:style>
  <w:style w:type="character" w:customStyle="1" w:styleId="72">
    <w:name w:val="副标题 Char1"/>
    <w:basedOn w:val="45"/>
    <w:link w:val="31"/>
    <w:autoRedefine/>
    <w:qFormat/>
    <w:uiPriority w:val="11"/>
    <w:rPr>
      <w:rFonts w:eastAsia="宋体" w:asciiTheme="majorHAnsi" w:hAnsiTheme="majorHAnsi" w:cstheme="majorBidi"/>
      <w:b/>
      <w:bCs/>
      <w:kern w:val="28"/>
      <w:sz w:val="32"/>
      <w:szCs w:val="32"/>
    </w:rPr>
  </w:style>
  <w:style w:type="paragraph" w:customStyle="1" w:styleId="73">
    <w:name w:val="Char Char Char Char"/>
    <w:basedOn w:val="1"/>
    <w:qFormat/>
    <w:uiPriority w:val="0"/>
    <w:pPr>
      <w:spacing w:line="240" w:lineRule="auto"/>
      <w:ind w:firstLine="0" w:firstLineChars="0"/>
    </w:pPr>
    <w:rPr>
      <w:rFonts w:eastAsia="宋体" w:cs="Times New Roman"/>
      <w:sz w:val="21"/>
      <w:szCs w:val="24"/>
    </w:rPr>
  </w:style>
  <w:style w:type="paragraph" w:customStyle="1" w:styleId="74">
    <w:name w:val="正文1"/>
    <w:qFormat/>
    <w:uiPriority w:val="0"/>
    <w:pPr>
      <w:widowControl w:val="0"/>
      <w:adjustRightInd w:val="0"/>
      <w:spacing w:line="360" w:lineRule="atLeast"/>
    </w:pPr>
    <w:rPr>
      <w:rFonts w:ascii="宋体" w:hAnsi="Times New Roman" w:eastAsia="宋体" w:cs="Times New Roman"/>
      <w:sz w:val="34"/>
      <w:lang w:val="en-US" w:eastAsia="zh-CN" w:bidi="ar-SA"/>
    </w:rPr>
  </w:style>
  <w:style w:type="character" w:customStyle="1" w:styleId="75">
    <w:name w:val="正文缩进 Char"/>
    <w:basedOn w:val="45"/>
    <w:link w:val="11"/>
    <w:qFormat/>
    <w:locked/>
    <w:uiPriority w:val="0"/>
    <w:rPr>
      <w:rFonts w:ascii="Times New Roman" w:hAnsi="Times New Roman" w:eastAsia="仿宋_GB2312"/>
      <w:sz w:val="24"/>
    </w:rPr>
  </w:style>
  <w:style w:type="paragraph" w:customStyle="1" w:styleId="76">
    <w:name w:val="列出段落1"/>
    <w:basedOn w:val="1"/>
    <w:qFormat/>
    <w:uiPriority w:val="34"/>
    <w:pPr>
      <w:spacing w:line="240" w:lineRule="auto"/>
      <w:ind w:firstLine="420"/>
    </w:pPr>
    <w:rPr>
      <w:rFonts w:ascii="Calibri" w:hAnsi="Calibri" w:eastAsia="宋体" w:cs="黑体"/>
      <w:sz w:val="21"/>
    </w:rPr>
  </w:style>
  <w:style w:type="character" w:customStyle="1" w:styleId="77">
    <w:name w:val="标题 4 Char"/>
    <w:basedOn w:val="45"/>
    <w:link w:val="5"/>
    <w:autoRedefine/>
    <w:qFormat/>
    <w:uiPriority w:val="0"/>
    <w:rPr>
      <w:rFonts w:ascii="等线 Light" w:hAnsi="等线 Light" w:eastAsia="等线 Light" w:cs="Times New Roman"/>
      <w:b/>
      <w:bCs/>
      <w:kern w:val="2"/>
      <w:sz w:val="28"/>
      <w:szCs w:val="28"/>
    </w:rPr>
  </w:style>
  <w:style w:type="character" w:customStyle="1" w:styleId="78">
    <w:name w:val="标题 5 Char"/>
    <w:basedOn w:val="45"/>
    <w:link w:val="6"/>
    <w:autoRedefine/>
    <w:qFormat/>
    <w:uiPriority w:val="0"/>
    <w:rPr>
      <w:rFonts w:ascii="宋体" w:hAnsi="宋体" w:eastAsia="宋体" w:cs="宋体"/>
      <w:b/>
      <w:bCs/>
      <w:color w:val="000000"/>
      <w:sz w:val="28"/>
      <w:szCs w:val="28"/>
    </w:rPr>
  </w:style>
  <w:style w:type="character" w:customStyle="1" w:styleId="79">
    <w:name w:val="标题 6 Char"/>
    <w:basedOn w:val="45"/>
    <w:link w:val="7"/>
    <w:autoRedefine/>
    <w:qFormat/>
    <w:uiPriority w:val="0"/>
    <w:rPr>
      <w:rFonts w:ascii="Arial" w:hAnsi="Arial" w:eastAsia="黑体" w:cs="宋体"/>
      <w:b/>
      <w:bCs/>
      <w:color w:val="000000"/>
      <w:sz w:val="24"/>
      <w:szCs w:val="24"/>
    </w:rPr>
  </w:style>
  <w:style w:type="character" w:customStyle="1" w:styleId="80">
    <w:name w:val="标题 1 Char"/>
    <w:qFormat/>
    <w:locked/>
    <w:uiPriority w:val="9"/>
    <w:rPr>
      <w:rFonts w:ascii="Times New Roman" w:hAnsi="Times New Roman" w:eastAsia="黑体" w:cs="Times New Roman"/>
      <w:bCs/>
      <w:kern w:val="44"/>
      <w:sz w:val="44"/>
      <w:szCs w:val="44"/>
    </w:rPr>
  </w:style>
  <w:style w:type="character" w:customStyle="1" w:styleId="81">
    <w:name w:val="标题 2 Char"/>
    <w:autoRedefine/>
    <w:qFormat/>
    <w:locked/>
    <w:uiPriority w:val="9"/>
    <w:rPr>
      <w:rFonts w:ascii="Times New Roman" w:hAnsi="Times New Roman" w:eastAsia="宋体" w:cs="Times New Roman"/>
      <w:bCs/>
      <w:sz w:val="32"/>
      <w:szCs w:val="32"/>
    </w:rPr>
  </w:style>
  <w:style w:type="character" w:customStyle="1" w:styleId="82">
    <w:name w:val="标题 3 Char"/>
    <w:autoRedefine/>
    <w:qFormat/>
    <w:locked/>
    <w:uiPriority w:val="9"/>
    <w:rPr>
      <w:rFonts w:ascii="Times New Roman" w:hAnsi="Times New Roman" w:eastAsia="黑体" w:cs="Times New Roman"/>
      <w:bCs/>
      <w:sz w:val="32"/>
      <w:szCs w:val="32"/>
    </w:rPr>
  </w:style>
  <w:style w:type="character" w:customStyle="1" w:styleId="83">
    <w:name w:val="页眉 Char"/>
    <w:autoRedefine/>
    <w:qFormat/>
    <w:locked/>
    <w:uiPriority w:val="99"/>
    <w:rPr>
      <w:rFonts w:ascii="Times New Roman" w:hAnsi="Times New Roman" w:eastAsia="宋体" w:cs="Times New Roman"/>
      <w:sz w:val="18"/>
      <w:szCs w:val="18"/>
    </w:rPr>
  </w:style>
  <w:style w:type="character" w:customStyle="1" w:styleId="84">
    <w:name w:val="页脚 Char"/>
    <w:autoRedefine/>
    <w:qFormat/>
    <w:locked/>
    <w:uiPriority w:val="99"/>
    <w:rPr>
      <w:rFonts w:ascii="Times New Roman" w:hAnsi="Times New Roman" w:eastAsia="宋体" w:cs="Times New Roman"/>
      <w:sz w:val="18"/>
      <w:szCs w:val="18"/>
    </w:rPr>
  </w:style>
  <w:style w:type="character" w:customStyle="1" w:styleId="85">
    <w:name w:val="日期 Char"/>
    <w:autoRedefine/>
    <w:semiHidden/>
    <w:qFormat/>
    <w:locked/>
    <w:uiPriority w:val="99"/>
    <w:rPr>
      <w:rFonts w:ascii="Times New Roman" w:hAnsi="Times New Roman" w:eastAsia="宋体" w:cs="Times New Roman"/>
      <w:sz w:val="24"/>
    </w:rPr>
  </w:style>
  <w:style w:type="character" w:customStyle="1" w:styleId="86">
    <w:name w:val="Date Char1"/>
    <w:autoRedefine/>
    <w:semiHidden/>
    <w:qFormat/>
    <w:uiPriority w:val="99"/>
    <w:rPr>
      <w:rFonts w:ascii="Times New Roman" w:hAnsi="Times New Roman" w:eastAsia="仿宋_GB2312"/>
      <w:kern w:val="2"/>
      <w:sz w:val="24"/>
      <w:szCs w:val="22"/>
    </w:rPr>
  </w:style>
  <w:style w:type="character" w:customStyle="1" w:styleId="87">
    <w:name w:val="文档结构图 Char"/>
    <w:autoRedefine/>
    <w:semiHidden/>
    <w:qFormat/>
    <w:locked/>
    <w:uiPriority w:val="99"/>
    <w:rPr>
      <w:rFonts w:ascii="宋体" w:hAnsi="Times New Roman" w:eastAsia="宋体" w:cs="Times New Roman"/>
      <w:sz w:val="18"/>
      <w:szCs w:val="18"/>
    </w:rPr>
  </w:style>
  <w:style w:type="character" w:customStyle="1" w:styleId="88">
    <w:name w:val="标题 Char"/>
    <w:autoRedefine/>
    <w:qFormat/>
    <w:locked/>
    <w:uiPriority w:val="0"/>
    <w:rPr>
      <w:rFonts w:ascii="黑体" w:hAnsi="黑体" w:eastAsia="黑体" w:cs="Times New Roman"/>
      <w:bCs/>
      <w:sz w:val="32"/>
      <w:szCs w:val="32"/>
    </w:rPr>
  </w:style>
  <w:style w:type="character" w:customStyle="1" w:styleId="89">
    <w:name w:val="批注框文本 Char"/>
    <w:semiHidden/>
    <w:qFormat/>
    <w:locked/>
    <w:uiPriority w:val="99"/>
    <w:rPr>
      <w:rFonts w:ascii="Times New Roman" w:hAnsi="Times New Roman" w:eastAsia="宋体" w:cs="Times New Roman"/>
      <w:sz w:val="18"/>
      <w:szCs w:val="18"/>
    </w:rPr>
  </w:style>
  <w:style w:type="character" w:customStyle="1" w:styleId="90">
    <w:name w:val="Balloon Text Char1"/>
    <w:autoRedefine/>
    <w:semiHidden/>
    <w:qFormat/>
    <w:uiPriority w:val="99"/>
    <w:rPr>
      <w:rFonts w:ascii="Times New Roman" w:hAnsi="Times New Roman" w:eastAsia="仿宋_GB2312"/>
      <w:kern w:val="2"/>
      <w:sz w:val="0"/>
      <w:szCs w:val="0"/>
    </w:rPr>
  </w:style>
  <w:style w:type="paragraph" w:customStyle="1" w:styleId="91">
    <w:name w:val="无间隔1"/>
    <w:link w:val="92"/>
    <w:qFormat/>
    <w:uiPriority w:val="1"/>
    <w:pPr>
      <w:jc w:val="center"/>
    </w:pPr>
    <w:rPr>
      <w:rFonts w:ascii="黑体" w:hAnsi="黑体" w:eastAsia="黑体" w:cs="Times New Roman"/>
      <w:sz w:val="21"/>
      <w:szCs w:val="22"/>
      <w:lang w:val="en-US" w:eastAsia="zh-CN" w:bidi="ar-SA"/>
    </w:rPr>
  </w:style>
  <w:style w:type="character" w:customStyle="1" w:styleId="92">
    <w:name w:val="No Spacing Char"/>
    <w:link w:val="91"/>
    <w:autoRedefine/>
    <w:qFormat/>
    <w:locked/>
    <w:uiPriority w:val="1"/>
    <w:rPr>
      <w:rFonts w:ascii="黑体" w:hAnsi="黑体" w:eastAsia="黑体" w:cs="Times New Roman"/>
      <w:sz w:val="21"/>
      <w:szCs w:val="22"/>
    </w:rPr>
  </w:style>
  <w:style w:type="paragraph" w:customStyle="1" w:styleId="93">
    <w:name w:val="2"/>
    <w:basedOn w:val="1"/>
    <w:next w:val="1"/>
    <w:unhideWhenUsed/>
    <w:qFormat/>
    <w:uiPriority w:val="39"/>
    <w:pPr>
      <w:widowControl/>
      <w:tabs>
        <w:tab w:val="left" w:pos="1560"/>
        <w:tab w:val="right" w:leader="dot" w:pos="8296"/>
      </w:tabs>
      <w:spacing w:line="336" w:lineRule="auto"/>
      <w:ind w:left="851" w:hanging="2" w:firstLineChars="0"/>
      <w:jc w:val="left"/>
    </w:pPr>
    <w:rPr>
      <w:rFonts w:ascii="仿宋_GB2312" w:hAnsi="Calibri" w:cs="Times New Roman"/>
      <w:kern w:val="0"/>
      <w:sz w:val="22"/>
    </w:rPr>
  </w:style>
  <w:style w:type="paragraph" w:customStyle="1" w:styleId="94">
    <w:name w:val="列表段落1"/>
    <w:basedOn w:val="1"/>
    <w:autoRedefine/>
    <w:qFormat/>
    <w:uiPriority w:val="34"/>
    <w:pPr>
      <w:ind w:firstLine="420"/>
    </w:pPr>
    <w:rPr>
      <w:rFonts w:cs="Times New Roman"/>
    </w:rPr>
  </w:style>
  <w:style w:type="character" w:customStyle="1" w:styleId="95">
    <w:name w:val="批注文字 Char"/>
    <w:autoRedefine/>
    <w:semiHidden/>
    <w:qFormat/>
    <w:locked/>
    <w:uiPriority w:val="99"/>
    <w:rPr>
      <w:rFonts w:ascii="Times New Roman" w:hAnsi="Times New Roman" w:eastAsia="宋体" w:cs="Times New Roman"/>
      <w:sz w:val="24"/>
    </w:rPr>
  </w:style>
  <w:style w:type="character" w:customStyle="1" w:styleId="96">
    <w:name w:val="Comment Text Char1"/>
    <w:autoRedefine/>
    <w:semiHidden/>
    <w:qFormat/>
    <w:uiPriority w:val="99"/>
    <w:rPr>
      <w:rFonts w:ascii="Times New Roman" w:hAnsi="Times New Roman" w:eastAsia="仿宋_GB2312"/>
      <w:kern w:val="2"/>
      <w:sz w:val="24"/>
      <w:szCs w:val="22"/>
    </w:rPr>
  </w:style>
  <w:style w:type="character" w:customStyle="1" w:styleId="97">
    <w:name w:val="批注主题 Char"/>
    <w:autoRedefine/>
    <w:semiHidden/>
    <w:qFormat/>
    <w:locked/>
    <w:uiPriority w:val="99"/>
    <w:rPr>
      <w:rFonts w:ascii="Times New Roman" w:hAnsi="Times New Roman" w:eastAsia="宋体" w:cs="Times New Roman"/>
      <w:b/>
      <w:bCs/>
      <w:sz w:val="24"/>
    </w:rPr>
  </w:style>
  <w:style w:type="character" w:customStyle="1" w:styleId="98">
    <w:name w:val="Comment Subject Char1"/>
    <w:autoRedefine/>
    <w:semiHidden/>
    <w:qFormat/>
    <w:uiPriority w:val="99"/>
    <w:rPr>
      <w:rFonts w:ascii="Times New Roman" w:hAnsi="Times New Roman" w:eastAsia="仿宋_GB2312" w:cs="Times New Roman"/>
      <w:b/>
      <w:bCs/>
      <w:kern w:val="2"/>
      <w:sz w:val="24"/>
      <w:szCs w:val="22"/>
    </w:rPr>
  </w:style>
  <w:style w:type="paragraph" w:customStyle="1" w:styleId="99">
    <w:name w:val="Char Char Char Char Char Char Char Char Char Char"/>
    <w:basedOn w:val="1"/>
    <w:next w:val="1"/>
    <w:autoRedefine/>
    <w:qFormat/>
    <w:uiPriority w:val="0"/>
    <w:rPr>
      <w:rFonts w:ascii="宋体" w:hAnsi="宋体" w:eastAsia="宋体" w:cs="宋体"/>
      <w:szCs w:val="24"/>
    </w:rPr>
  </w:style>
  <w:style w:type="character" w:customStyle="1" w:styleId="100">
    <w:name w:val="正文样式 Char"/>
    <w:link w:val="101"/>
    <w:semiHidden/>
    <w:qFormat/>
    <w:uiPriority w:val="0"/>
    <w:rPr>
      <w:rFonts w:ascii="宋体" w:hAnsi="宋体" w:eastAsia="宋体"/>
      <w:color w:val="000000"/>
      <w:kern w:val="2"/>
      <w:sz w:val="24"/>
      <w:szCs w:val="24"/>
    </w:rPr>
  </w:style>
  <w:style w:type="paragraph" w:customStyle="1" w:styleId="101">
    <w:name w:val="正文样式"/>
    <w:basedOn w:val="1"/>
    <w:link w:val="100"/>
    <w:semiHidden/>
    <w:qFormat/>
    <w:uiPriority w:val="0"/>
    <w:pPr>
      <w:widowControl/>
      <w:spacing w:line="460" w:lineRule="exact"/>
      <w:jc w:val="left"/>
    </w:pPr>
    <w:rPr>
      <w:rFonts w:ascii="宋体" w:hAnsi="宋体" w:eastAsia="宋体"/>
      <w:color w:val="000000"/>
      <w:szCs w:val="24"/>
    </w:rPr>
  </w:style>
  <w:style w:type="character" w:customStyle="1" w:styleId="102">
    <w:name w:val="正文文本 Char"/>
    <w:basedOn w:val="45"/>
    <w:link w:val="16"/>
    <w:autoRedefine/>
    <w:qFormat/>
    <w:uiPriority w:val="0"/>
    <w:rPr>
      <w:rFonts w:ascii="Times New Roman" w:hAnsi="Times New Roman" w:eastAsia="宋体" w:cs="Times New Roman"/>
      <w:kern w:val="2"/>
      <w:sz w:val="21"/>
      <w:szCs w:val="24"/>
    </w:rPr>
  </w:style>
  <w:style w:type="character" w:customStyle="1" w:styleId="103">
    <w:name w:val="正文文本 3 Char"/>
    <w:basedOn w:val="45"/>
    <w:link w:val="15"/>
    <w:autoRedefine/>
    <w:qFormat/>
    <w:uiPriority w:val="0"/>
    <w:rPr>
      <w:rFonts w:ascii="Times New Roman" w:hAnsi="Times New Roman" w:eastAsia="宋体" w:cs="Times New Roman"/>
      <w:kern w:val="2"/>
      <w:sz w:val="16"/>
      <w:szCs w:val="16"/>
    </w:rPr>
  </w:style>
  <w:style w:type="paragraph" w:customStyle="1" w:styleId="104">
    <w:name w:val="基准页眉样式"/>
    <w:basedOn w:val="16"/>
    <w:autoRedefine/>
    <w:qFormat/>
    <w:uiPriority w:val="0"/>
    <w:pPr>
      <w:spacing w:after="0" w:line="300" w:lineRule="exact"/>
      <w:jc w:val="center"/>
    </w:pPr>
    <w:rPr>
      <w:rFonts w:ascii="宋体" w:hAnsi="宋体"/>
      <w:b/>
      <w:bCs/>
      <w:color w:val="000000"/>
      <w:kern w:val="0"/>
    </w:rPr>
  </w:style>
  <w:style w:type="paragraph" w:customStyle="1" w:styleId="105">
    <w:name w:val="BG1"/>
    <w:basedOn w:val="1"/>
    <w:autoRedefine/>
    <w:qFormat/>
    <w:uiPriority w:val="0"/>
    <w:pPr>
      <w:spacing w:line="280" w:lineRule="exact"/>
      <w:ind w:firstLine="0" w:firstLineChars="0"/>
      <w:jc w:val="center"/>
    </w:pPr>
    <w:rPr>
      <w:rFonts w:ascii="宋体" w:hAnsi="宋体" w:eastAsia="宋体" w:cs="Times New Roman"/>
      <w:sz w:val="21"/>
      <w:szCs w:val="24"/>
    </w:rPr>
  </w:style>
  <w:style w:type="character" w:customStyle="1" w:styleId="106">
    <w:name w:val="纯文本 Char"/>
    <w:basedOn w:val="45"/>
    <w:link w:val="22"/>
    <w:autoRedefine/>
    <w:qFormat/>
    <w:uiPriority w:val="0"/>
    <w:rPr>
      <w:rFonts w:ascii="宋体" w:hAnsi="Courier New" w:eastAsia="宋体" w:cs="Courier New"/>
      <w:kern w:val="2"/>
      <w:sz w:val="21"/>
      <w:szCs w:val="21"/>
    </w:rPr>
  </w:style>
  <w:style w:type="paragraph" w:customStyle="1" w:styleId="107">
    <w:name w:val="Char Char1 Char"/>
    <w:basedOn w:val="1"/>
    <w:next w:val="1"/>
    <w:autoRedefine/>
    <w:qFormat/>
    <w:uiPriority w:val="0"/>
    <w:rPr>
      <w:rFonts w:ascii="宋体" w:hAnsi="宋体" w:eastAsia="宋体" w:cs="宋体"/>
      <w:szCs w:val="24"/>
    </w:rPr>
  </w:style>
  <w:style w:type="paragraph" w:customStyle="1" w:styleId="108">
    <w:name w:val="xl26"/>
    <w:basedOn w:val="1"/>
    <w:autoRedefine/>
    <w:qFormat/>
    <w:uiPriority w:val="0"/>
    <w:pPr>
      <w:widowControl/>
      <w:spacing w:before="100" w:beforeAutospacing="1" w:after="100" w:afterAutospacing="1" w:line="240" w:lineRule="auto"/>
      <w:ind w:firstLine="0" w:firstLineChars="0"/>
    </w:pPr>
    <w:rPr>
      <w:rFonts w:eastAsia="宋体" w:cs="Times New Roman"/>
      <w:kern w:val="0"/>
      <w:sz w:val="21"/>
      <w:szCs w:val="21"/>
    </w:rPr>
  </w:style>
  <w:style w:type="paragraph" w:customStyle="1" w:styleId="109">
    <w:name w:val="Default"/>
    <w:autoRedefine/>
    <w:qFormat/>
    <w:uiPriority w:val="0"/>
    <w:pPr>
      <w:widowControl w:val="0"/>
      <w:autoSpaceDE w:val="0"/>
      <w:autoSpaceDN w:val="0"/>
      <w:adjustRightInd w:val="0"/>
    </w:pPr>
    <w:rPr>
      <w:rFonts w:ascii="Times New Roman" w:hAnsi="Times New Roman" w:eastAsia="等线" w:cs="Times New Roman"/>
      <w:color w:val="000000"/>
      <w:sz w:val="24"/>
      <w:szCs w:val="24"/>
      <w:lang w:val="en-US" w:eastAsia="zh-CN" w:bidi="ar-SA"/>
    </w:rPr>
  </w:style>
  <w:style w:type="paragraph" w:customStyle="1" w:styleId="110">
    <w:name w:val="表体"/>
    <w:basedOn w:val="1"/>
    <w:link w:val="111"/>
    <w:autoRedefine/>
    <w:qFormat/>
    <w:uiPriority w:val="0"/>
    <w:pPr>
      <w:widowControl/>
      <w:adjustRightInd w:val="0"/>
      <w:snapToGrid w:val="0"/>
      <w:spacing w:line="240" w:lineRule="atLeast"/>
      <w:ind w:firstLine="0" w:firstLineChars="0"/>
      <w:jc w:val="center"/>
    </w:pPr>
    <w:rPr>
      <w:rFonts w:cs="Times New Roman"/>
      <w:kern w:val="0"/>
      <w:szCs w:val="20"/>
    </w:rPr>
  </w:style>
  <w:style w:type="character" w:customStyle="1" w:styleId="111">
    <w:name w:val="表体 Char"/>
    <w:link w:val="110"/>
    <w:qFormat/>
    <w:uiPriority w:val="0"/>
    <w:rPr>
      <w:rFonts w:ascii="Times New Roman" w:hAnsi="Times New Roman" w:eastAsia="仿宋_GB2312" w:cs="Times New Roman"/>
      <w:sz w:val="24"/>
    </w:rPr>
  </w:style>
  <w:style w:type="paragraph" w:customStyle="1" w:styleId="112">
    <w:name w:val="样式1"/>
    <w:basedOn w:val="1"/>
    <w:qFormat/>
    <w:uiPriority w:val="0"/>
    <w:pPr>
      <w:spacing w:line="480" w:lineRule="exact"/>
      <w:ind w:firstLine="560"/>
    </w:pPr>
    <w:rPr>
      <w:rFonts w:cs="Times New Roman"/>
      <w:sz w:val="28"/>
      <w:szCs w:val="28"/>
    </w:rPr>
  </w:style>
  <w:style w:type="paragraph" w:customStyle="1" w:styleId="113">
    <w:name w:val="报告书表格"/>
    <w:basedOn w:val="1"/>
    <w:qFormat/>
    <w:uiPriority w:val="0"/>
    <w:pPr>
      <w:widowControl/>
      <w:adjustRightInd w:val="0"/>
      <w:spacing w:line="240" w:lineRule="atLeast"/>
      <w:jc w:val="center"/>
      <w:textAlignment w:val="baseline"/>
    </w:pPr>
    <w:rPr>
      <w:rFonts w:ascii="宋体" w:hAnsi="宋体" w:eastAsia="宋体" w:cs="宋体"/>
      <w:color w:val="000000"/>
      <w:kern w:val="0"/>
      <w:szCs w:val="20"/>
    </w:rPr>
  </w:style>
  <w:style w:type="paragraph" w:customStyle="1" w:styleId="114">
    <w:name w:val="报告正文"/>
    <w:basedOn w:val="1"/>
    <w:link w:val="115"/>
    <w:qFormat/>
    <w:uiPriority w:val="0"/>
    <w:pPr>
      <w:spacing w:line="500" w:lineRule="exact"/>
      <w:ind w:firstLine="480"/>
    </w:pPr>
    <w:rPr>
      <w:rFonts w:ascii="Arial Narrow" w:hAnsi="Arial Narrow" w:eastAsia="汉鼎简书宋" w:cs="Times New Roman"/>
      <w:bCs/>
      <w:color w:val="000000"/>
      <w:szCs w:val="20"/>
    </w:rPr>
  </w:style>
  <w:style w:type="character" w:customStyle="1" w:styleId="115">
    <w:name w:val="报告正文 Char"/>
    <w:link w:val="114"/>
    <w:autoRedefine/>
    <w:qFormat/>
    <w:uiPriority w:val="0"/>
    <w:rPr>
      <w:rFonts w:ascii="Arial Narrow" w:hAnsi="Arial Narrow" w:eastAsia="汉鼎简书宋" w:cs="Times New Roman"/>
      <w:bCs/>
      <w:color w:val="000000"/>
      <w:kern w:val="2"/>
      <w:sz w:val="24"/>
    </w:rPr>
  </w:style>
  <w:style w:type="paragraph" w:customStyle="1" w:styleId="116">
    <w:name w:val="表"/>
    <w:basedOn w:val="1"/>
    <w:autoRedefine/>
    <w:qFormat/>
    <w:uiPriority w:val="0"/>
    <w:pPr>
      <w:widowControl/>
      <w:adjustRightInd w:val="0"/>
      <w:snapToGrid w:val="0"/>
      <w:spacing w:line="500" w:lineRule="exact"/>
      <w:jc w:val="center"/>
      <w:textAlignment w:val="center"/>
    </w:pPr>
    <w:rPr>
      <w:rFonts w:ascii="宋体" w:hAnsi="宋体" w:eastAsia="楷体_GB2312" w:cs="宋体"/>
      <w:color w:val="000000"/>
      <w:kern w:val="0"/>
      <w:szCs w:val="20"/>
    </w:rPr>
  </w:style>
  <w:style w:type="paragraph" w:customStyle="1" w:styleId="117">
    <w:name w:val="表格"/>
    <w:basedOn w:val="1"/>
    <w:qFormat/>
    <w:uiPriority w:val="0"/>
    <w:pPr>
      <w:widowControl/>
      <w:snapToGrid w:val="0"/>
      <w:spacing w:line="240" w:lineRule="atLeast"/>
      <w:jc w:val="center"/>
    </w:pPr>
    <w:rPr>
      <w:rFonts w:ascii="宋体" w:hAnsi="宋体" w:eastAsia="宋体" w:cs="宋体"/>
      <w:color w:val="000000"/>
      <w:kern w:val="0"/>
      <w:szCs w:val="20"/>
    </w:rPr>
  </w:style>
  <w:style w:type="paragraph" w:customStyle="1" w:styleId="118">
    <w:name w:val="表格标题"/>
    <w:basedOn w:val="1"/>
    <w:qFormat/>
    <w:uiPriority w:val="0"/>
    <w:pPr>
      <w:spacing w:line="480" w:lineRule="exact"/>
      <w:ind w:firstLine="420"/>
    </w:pPr>
    <w:rPr>
      <w:rFonts w:eastAsia="黑体" w:cs="Times New Roman"/>
      <w:color w:val="000000"/>
      <w:szCs w:val="20"/>
    </w:rPr>
  </w:style>
  <w:style w:type="paragraph" w:customStyle="1" w:styleId="119">
    <w:name w:val="表号"/>
    <w:link w:val="120"/>
    <w:qFormat/>
    <w:uiPriority w:val="0"/>
    <w:pPr>
      <w:adjustRightInd w:val="0"/>
      <w:snapToGrid w:val="0"/>
      <w:spacing w:line="240" w:lineRule="atLeast"/>
      <w:jc w:val="both"/>
      <w:outlineLvl w:val="4"/>
    </w:pPr>
    <w:rPr>
      <w:rFonts w:ascii="Times New Roman" w:hAnsi="Times New Roman" w:eastAsia="宋体" w:cs="Times New Roman"/>
      <w:sz w:val="21"/>
      <w:szCs w:val="24"/>
      <w:lang w:val="en-US" w:eastAsia="zh-CN" w:bidi="ar-SA"/>
    </w:rPr>
  </w:style>
  <w:style w:type="character" w:customStyle="1" w:styleId="120">
    <w:name w:val="表号 Char2"/>
    <w:link w:val="119"/>
    <w:autoRedefine/>
    <w:qFormat/>
    <w:uiPriority w:val="0"/>
    <w:rPr>
      <w:rFonts w:ascii="Times New Roman" w:hAnsi="Times New Roman" w:eastAsia="宋体" w:cs="Times New Roman"/>
      <w:sz w:val="21"/>
      <w:szCs w:val="24"/>
    </w:rPr>
  </w:style>
  <w:style w:type="paragraph" w:customStyle="1" w:styleId="121">
    <w:name w:val="表内容"/>
    <w:basedOn w:val="1"/>
    <w:link w:val="122"/>
    <w:qFormat/>
    <w:uiPriority w:val="0"/>
    <w:pPr>
      <w:widowControl/>
      <w:spacing w:line="280" w:lineRule="exact"/>
      <w:jc w:val="center"/>
    </w:pPr>
    <w:rPr>
      <w:rFonts w:ascii="宋体" w:hAnsi="宋体" w:eastAsia="宋体" w:cs="宋体"/>
      <w:color w:val="000000"/>
      <w:kern w:val="0"/>
      <w:sz w:val="18"/>
      <w:szCs w:val="20"/>
    </w:rPr>
  </w:style>
  <w:style w:type="character" w:customStyle="1" w:styleId="122">
    <w:name w:val="表内容 Char"/>
    <w:link w:val="121"/>
    <w:qFormat/>
    <w:uiPriority w:val="0"/>
    <w:rPr>
      <w:rFonts w:ascii="宋体" w:hAnsi="宋体" w:eastAsia="宋体" w:cs="宋体"/>
      <w:color w:val="000000"/>
      <w:sz w:val="18"/>
    </w:rPr>
  </w:style>
  <w:style w:type="paragraph" w:customStyle="1" w:styleId="123">
    <w:name w:val="表文字"/>
    <w:basedOn w:val="1"/>
    <w:next w:val="1"/>
    <w:link w:val="124"/>
    <w:qFormat/>
    <w:uiPriority w:val="0"/>
    <w:pPr>
      <w:widowControl/>
      <w:topLinePunct/>
      <w:adjustRightInd w:val="0"/>
      <w:spacing w:line="240" w:lineRule="exact"/>
      <w:jc w:val="center"/>
      <w:textAlignment w:val="baseline"/>
    </w:pPr>
    <w:rPr>
      <w:rFonts w:ascii="宋体" w:hAnsi="宋体" w:eastAsia="宋体" w:cs="宋体"/>
      <w:color w:val="000000"/>
      <w:kern w:val="0"/>
      <w:szCs w:val="21"/>
    </w:rPr>
  </w:style>
  <w:style w:type="character" w:customStyle="1" w:styleId="124">
    <w:name w:val="表文字 Char1"/>
    <w:link w:val="123"/>
    <w:autoRedefine/>
    <w:qFormat/>
    <w:uiPriority w:val="0"/>
    <w:rPr>
      <w:rFonts w:ascii="宋体" w:hAnsi="宋体" w:eastAsia="宋体" w:cs="宋体"/>
      <w:color w:val="000000"/>
      <w:sz w:val="24"/>
      <w:szCs w:val="21"/>
    </w:rPr>
  </w:style>
  <w:style w:type="paragraph" w:customStyle="1" w:styleId="125">
    <w:name w:val="Char Char Char Char Char Char Char Char Char1 Char Char Char Char"/>
    <w:basedOn w:val="1"/>
    <w:semiHidden/>
    <w:qFormat/>
    <w:uiPriority w:val="0"/>
    <w:rPr>
      <w:rFonts w:ascii="宋体" w:hAnsi="宋体" w:eastAsia="宋体" w:cs="宋体"/>
      <w:color w:val="000000"/>
      <w:szCs w:val="26"/>
    </w:rPr>
  </w:style>
  <w:style w:type="paragraph" w:customStyle="1" w:styleId="126">
    <w:name w:val="Char Char Char Char Char Char Char Char Char1 Char Char Char Char1"/>
    <w:basedOn w:val="1"/>
    <w:semiHidden/>
    <w:qFormat/>
    <w:uiPriority w:val="0"/>
    <w:rPr>
      <w:rFonts w:ascii="宋体" w:hAnsi="宋体" w:eastAsia="宋体" w:cs="宋体"/>
      <w:color w:val="000000"/>
      <w:szCs w:val="26"/>
    </w:rPr>
  </w:style>
  <w:style w:type="paragraph" w:customStyle="1" w:styleId="127">
    <w:name w:val="正缩1"/>
    <w:basedOn w:val="1"/>
    <w:link w:val="128"/>
    <w:autoRedefine/>
    <w:qFormat/>
    <w:uiPriority w:val="0"/>
    <w:pPr>
      <w:adjustRightInd w:val="0"/>
      <w:snapToGrid w:val="0"/>
      <w:spacing w:line="500" w:lineRule="exact"/>
      <w:ind w:firstLine="567" w:firstLineChars="0"/>
    </w:pPr>
    <w:rPr>
      <w:rFonts w:cs="Times New Roman"/>
      <w:snapToGrid w:val="0"/>
      <w:color w:val="000000"/>
      <w:kern w:val="0"/>
      <w:sz w:val="28"/>
      <w:szCs w:val="20"/>
    </w:rPr>
  </w:style>
  <w:style w:type="character" w:customStyle="1" w:styleId="128">
    <w:name w:val="正缩1 Char"/>
    <w:link w:val="127"/>
    <w:autoRedefine/>
    <w:qFormat/>
    <w:uiPriority w:val="0"/>
    <w:rPr>
      <w:rFonts w:ascii="Times New Roman" w:hAnsi="Times New Roman" w:eastAsia="仿宋_GB2312" w:cs="Times New Roman"/>
      <w:snapToGrid w:val="0"/>
      <w:color w:val="000000"/>
      <w:sz w:val="28"/>
    </w:rPr>
  </w:style>
  <w:style w:type="paragraph" w:customStyle="1" w:styleId="129">
    <w:name w:val="K图表标题"/>
    <w:basedOn w:val="1"/>
    <w:link w:val="131"/>
    <w:autoRedefine/>
    <w:qFormat/>
    <w:uiPriority w:val="0"/>
    <w:pPr>
      <w:spacing w:line="400" w:lineRule="exact"/>
      <w:ind w:firstLine="0" w:firstLineChars="0"/>
      <w:jc w:val="center"/>
      <w:outlineLvl w:val="4"/>
    </w:pPr>
    <w:rPr>
      <w:rFonts w:hAnsi="宋体" w:eastAsia="宋体" w:cs="Times New Roman"/>
      <w:b/>
      <w:color w:val="000000"/>
      <w:szCs w:val="24"/>
    </w:rPr>
  </w:style>
  <w:style w:type="paragraph" w:customStyle="1" w:styleId="130">
    <w:name w:val="K表内文字"/>
    <w:basedOn w:val="1"/>
    <w:link w:val="132"/>
    <w:autoRedefine/>
    <w:qFormat/>
    <w:uiPriority w:val="0"/>
    <w:pPr>
      <w:widowControl/>
      <w:spacing w:line="240" w:lineRule="auto"/>
      <w:ind w:firstLine="0" w:firstLineChars="0"/>
      <w:jc w:val="center"/>
    </w:pPr>
    <w:rPr>
      <w:rFonts w:eastAsia="宋体" w:cs="宋体"/>
      <w:color w:val="000000"/>
      <w:kern w:val="0"/>
      <w:sz w:val="21"/>
      <w:szCs w:val="21"/>
    </w:rPr>
  </w:style>
  <w:style w:type="character" w:customStyle="1" w:styleId="131">
    <w:name w:val="K图表标题 字符"/>
    <w:link w:val="129"/>
    <w:qFormat/>
    <w:uiPriority w:val="0"/>
    <w:rPr>
      <w:rFonts w:ascii="Times New Roman" w:hAnsi="宋体" w:eastAsia="宋体" w:cs="Times New Roman"/>
      <w:b/>
      <w:color w:val="000000"/>
      <w:kern w:val="2"/>
      <w:sz w:val="24"/>
      <w:szCs w:val="24"/>
    </w:rPr>
  </w:style>
  <w:style w:type="character" w:customStyle="1" w:styleId="132">
    <w:name w:val="K表内文字 字符"/>
    <w:link w:val="130"/>
    <w:autoRedefine/>
    <w:qFormat/>
    <w:uiPriority w:val="0"/>
    <w:rPr>
      <w:rFonts w:ascii="Times New Roman" w:hAnsi="Times New Roman" w:eastAsia="宋体" w:cs="宋体"/>
      <w:color w:val="000000"/>
      <w:sz w:val="21"/>
      <w:szCs w:val="21"/>
    </w:rPr>
  </w:style>
  <w:style w:type="paragraph" w:customStyle="1" w:styleId="133">
    <w:name w:val="修订1"/>
    <w:hidden/>
    <w:semiHidden/>
    <w:qFormat/>
    <w:uiPriority w:val="99"/>
    <w:rPr>
      <w:rFonts w:ascii="等线" w:hAnsi="等线" w:eastAsia="等线" w:cs="Times New Roman"/>
      <w:kern w:val="2"/>
      <w:sz w:val="21"/>
      <w:szCs w:val="22"/>
      <w:lang w:val="en-US" w:eastAsia="zh-CN" w:bidi="ar-SA"/>
    </w:rPr>
  </w:style>
  <w:style w:type="paragraph" w:customStyle="1" w:styleId="134">
    <w:name w:val="表体-格式"/>
    <w:basedOn w:val="1"/>
    <w:link w:val="135"/>
    <w:qFormat/>
    <w:uiPriority w:val="0"/>
    <w:pPr>
      <w:adjustRightInd w:val="0"/>
      <w:snapToGrid w:val="0"/>
      <w:spacing w:line="240" w:lineRule="auto"/>
      <w:ind w:firstLine="0" w:firstLineChars="0"/>
      <w:jc w:val="center"/>
    </w:pPr>
    <w:rPr>
      <w:rFonts w:eastAsia="宋体" w:cs="Times New Roman"/>
      <w:kern w:val="0"/>
      <w:sz w:val="18"/>
      <w:szCs w:val="18"/>
      <w:lang w:eastAsia="en-US" w:bidi="en-US"/>
    </w:rPr>
  </w:style>
  <w:style w:type="character" w:customStyle="1" w:styleId="135">
    <w:name w:val="表体-格式 Char"/>
    <w:link w:val="134"/>
    <w:autoRedefine/>
    <w:qFormat/>
    <w:uiPriority w:val="0"/>
    <w:rPr>
      <w:rFonts w:ascii="Times New Roman" w:hAnsi="Times New Roman" w:eastAsia="宋体" w:cs="Times New Roman"/>
      <w:sz w:val="18"/>
      <w:szCs w:val="18"/>
      <w:lang w:eastAsia="en-US" w:bidi="en-US"/>
    </w:rPr>
  </w:style>
  <w:style w:type="paragraph" w:customStyle="1" w:styleId="136">
    <w:name w:val="我的正文"/>
    <w:basedOn w:val="1"/>
    <w:link w:val="137"/>
    <w:qFormat/>
    <w:uiPriority w:val="0"/>
    <w:rPr>
      <w:rFonts w:eastAsia="宋体" w:cs="Times New Roman"/>
      <w:szCs w:val="20"/>
      <w:lang w:val="zh-CN"/>
    </w:rPr>
  </w:style>
  <w:style w:type="character" w:customStyle="1" w:styleId="137">
    <w:name w:val="我的正文 Char"/>
    <w:link w:val="136"/>
    <w:autoRedefine/>
    <w:qFormat/>
    <w:locked/>
    <w:uiPriority w:val="0"/>
    <w:rPr>
      <w:rFonts w:ascii="Times New Roman" w:hAnsi="Times New Roman" w:eastAsia="宋体" w:cs="Times New Roman"/>
      <w:kern w:val="2"/>
      <w:sz w:val="24"/>
      <w:lang w:val="zh-CN"/>
    </w:rPr>
  </w:style>
  <w:style w:type="character" w:customStyle="1" w:styleId="138">
    <w:name w:val="正文文本缩进 2 Char"/>
    <w:basedOn w:val="45"/>
    <w:link w:val="25"/>
    <w:autoRedefine/>
    <w:qFormat/>
    <w:uiPriority w:val="0"/>
    <w:rPr>
      <w:rFonts w:ascii="Times New Roman" w:hAnsi="Times New Roman" w:eastAsia="宋体" w:cs="Times New Roman"/>
      <w:kern w:val="2"/>
      <w:sz w:val="24"/>
      <w:szCs w:val="24"/>
    </w:rPr>
  </w:style>
  <w:style w:type="character" w:customStyle="1" w:styleId="139">
    <w:name w:val="正文文本缩进 Char"/>
    <w:basedOn w:val="45"/>
    <w:link w:val="17"/>
    <w:autoRedefine/>
    <w:uiPriority w:val="0"/>
    <w:rPr>
      <w:rFonts w:ascii="Times New Roman" w:hAnsi="Times New Roman" w:eastAsia="宋体" w:cs="Times New Roman"/>
      <w:color w:val="000000"/>
      <w:kern w:val="2"/>
      <w:sz w:val="24"/>
      <w:szCs w:val="24"/>
    </w:rPr>
  </w:style>
  <w:style w:type="paragraph" w:customStyle="1" w:styleId="140">
    <w:name w:val="默认段落字体 Para Char"/>
    <w:basedOn w:val="1"/>
    <w:qFormat/>
    <w:uiPriority w:val="0"/>
    <w:rPr>
      <w:rFonts w:ascii="宋体" w:hAnsi="宋体" w:eastAsia="宋体" w:cs="宋体"/>
      <w:szCs w:val="24"/>
    </w:rPr>
  </w:style>
  <w:style w:type="paragraph" w:customStyle="1" w:styleId="141">
    <w:name w:val="样式 Times New Roman 四号 段前: 0 磅 段后: 0 磅"/>
    <w:basedOn w:val="1"/>
    <w:autoRedefine/>
    <w:qFormat/>
    <w:uiPriority w:val="0"/>
    <w:pPr>
      <w:adjustRightInd w:val="0"/>
      <w:snapToGrid w:val="0"/>
      <w:spacing w:line="240" w:lineRule="auto"/>
      <w:ind w:firstLine="0" w:firstLineChars="0"/>
      <w:jc w:val="center"/>
    </w:pPr>
    <w:rPr>
      <w:rFonts w:eastAsia="宋体" w:cs="Times New Roman"/>
      <w:bCs/>
      <w:color w:val="000000"/>
      <w:sz w:val="21"/>
      <w:szCs w:val="21"/>
    </w:rPr>
  </w:style>
  <w:style w:type="paragraph" w:customStyle="1" w:styleId="142">
    <w:name w:val="hb3"/>
    <w:basedOn w:val="4"/>
    <w:link w:val="143"/>
    <w:autoRedefine/>
    <w:uiPriority w:val="0"/>
    <w:pPr>
      <w:widowControl/>
      <w:adjustRightInd w:val="0"/>
      <w:snapToGrid w:val="0"/>
      <w:spacing w:beforeLines="50" w:afterLines="50" w:line="240" w:lineRule="auto"/>
      <w:jc w:val="left"/>
      <w:textAlignment w:val="baseline"/>
    </w:pPr>
    <w:rPr>
      <w:rFonts w:ascii="宋体" w:hAnsi="宋体" w:eastAsia="宋体" w:cs="宋体"/>
      <w:b/>
      <w:kern w:val="0"/>
      <w:szCs w:val="24"/>
    </w:rPr>
  </w:style>
  <w:style w:type="character" w:customStyle="1" w:styleId="143">
    <w:name w:val="hb3 Char"/>
    <w:link w:val="142"/>
    <w:autoRedefine/>
    <w:qFormat/>
    <w:uiPriority w:val="0"/>
    <w:rPr>
      <w:rFonts w:ascii="宋体" w:hAnsi="宋体" w:eastAsia="宋体" w:cs="宋体"/>
      <w:b/>
      <w:bCs/>
      <w:sz w:val="24"/>
      <w:szCs w:val="24"/>
    </w:rPr>
  </w:style>
  <w:style w:type="paragraph" w:customStyle="1" w:styleId="144">
    <w:name w:val="样式 样式 样式 Tahoma 行距: 固定值 29 磅 + + 段前: 0 磅 段后: 0 磅"/>
    <w:basedOn w:val="1"/>
    <w:link w:val="145"/>
    <w:autoRedefine/>
    <w:qFormat/>
    <w:uiPriority w:val="0"/>
    <w:pPr>
      <w:adjustRightInd w:val="0"/>
      <w:snapToGrid w:val="0"/>
      <w:spacing w:line="500" w:lineRule="atLeast"/>
      <w:ind w:firstLine="561" w:firstLineChars="0"/>
    </w:pPr>
    <w:rPr>
      <w:rFonts w:eastAsia="宋体" w:cs="宋体"/>
      <w:sz w:val="28"/>
      <w:szCs w:val="20"/>
    </w:rPr>
  </w:style>
  <w:style w:type="character" w:customStyle="1" w:styleId="145">
    <w:name w:val="样式 样式 样式 Tahoma 行距: 固定值 29 磅 + + 段前: 0 磅 段后: 0 磅 Char"/>
    <w:link w:val="144"/>
    <w:autoRedefine/>
    <w:qFormat/>
    <w:uiPriority w:val="0"/>
    <w:rPr>
      <w:rFonts w:ascii="Times New Roman" w:hAnsi="Times New Roman" w:eastAsia="宋体" w:cs="宋体"/>
      <w:kern w:val="2"/>
      <w:sz w:val="28"/>
    </w:rPr>
  </w:style>
  <w:style w:type="paragraph" w:customStyle="1" w:styleId="146">
    <w:name w:val="Char"/>
    <w:basedOn w:val="1"/>
    <w:uiPriority w:val="0"/>
    <w:pPr>
      <w:spacing w:line="240" w:lineRule="auto"/>
      <w:ind w:firstLine="0" w:firstLineChars="0"/>
    </w:pPr>
    <w:rPr>
      <w:rFonts w:eastAsia="宋体" w:cs="Times New Roman"/>
      <w:sz w:val="21"/>
      <w:szCs w:val="24"/>
    </w:rPr>
  </w:style>
  <w:style w:type="character" w:customStyle="1" w:styleId="147">
    <w:name w:val="HTML 预设格式 Char"/>
    <w:basedOn w:val="45"/>
    <w:link w:val="38"/>
    <w:qFormat/>
    <w:uiPriority w:val="0"/>
    <w:rPr>
      <w:rFonts w:ascii="Arial" w:hAnsi="Arial" w:eastAsia="宋体" w:cs="Arial"/>
      <w:sz w:val="24"/>
      <w:szCs w:val="24"/>
    </w:rPr>
  </w:style>
  <w:style w:type="character" w:customStyle="1" w:styleId="148">
    <w:name w:val="Char Char"/>
    <w:autoRedefine/>
    <w:semiHidden/>
    <w:qFormat/>
    <w:uiPriority w:val="0"/>
    <w:rPr>
      <w:rFonts w:ascii="宋体"/>
      <w:kern w:val="2"/>
      <w:sz w:val="18"/>
      <w:szCs w:val="18"/>
    </w:rPr>
  </w:style>
  <w:style w:type="paragraph" w:customStyle="1" w:styleId="149">
    <w:name w:val="Char4"/>
    <w:basedOn w:val="1"/>
    <w:autoRedefine/>
    <w:qFormat/>
    <w:uiPriority w:val="0"/>
    <w:pPr>
      <w:widowControl/>
      <w:jc w:val="left"/>
    </w:pPr>
    <w:rPr>
      <w:rFonts w:ascii="宋体" w:hAnsi="宋体" w:eastAsia="宋体" w:cs="宋体"/>
      <w:kern w:val="0"/>
      <w:szCs w:val="24"/>
    </w:rPr>
  </w:style>
  <w:style w:type="paragraph" w:customStyle="1" w:styleId="150">
    <w:name w:val="Char1 Char Char Char"/>
    <w:basedOn w:val="7"/>
    <w:next w:val="1"/>
    <w:qFormat/>
    <w:uiPriority w:val="0"/>
    <w:pPr>
      <w:spacing w:line="360" w:lineRule="auto"/>
    </w:pPr>
    <w:rPr>
      <w:rFonts w:ascii="Arial Narrow" w:hAnsi="Arial Narrow"/>
      <w:color w:val="auto"/>
    </w:rPr>
  </w:style>
  <w:style w:type="paragraph" w:customStyle="1" w:styleId="151">
    <w:name w:val="样式 标题 2 + 居中"/>
    <w:basedOn w:val="3"/>
    <w:autoRedefine/>
    <w:qFormat/>
    <w:uiPriority w:val="0"/>
    <w:pPr>
      <w:widowControl/>
      <w:spacing w:before="260" w:after="260" w:line="416" w:lineRule="auto"/>
      <w:jc w:val="center"/>
    </w:pPr>
    <w:rPr>
      <w:rFonts w:ascii="Arial" w:hAnsi="Arial" w:eastAsia="黑体" w:cs="宋体"/>
      <w:b/>
      <w:kern w:val="0"/>
      <w:sz w:val="36"/>
      <w:szCs w:val="20"/>
    </w:rPr>
  </w:style>
  <w:style w:type="paragraph" w:customStyle="1" w:styleId="152">
    <w:name w:val="样式2"/>
    <w:basedOn w:val="5"/>
    <w:autoRedefine/>
    <w:qFormat/>
    <w:uiPriority w:val="0"/>
    <w:pPr>
      <w:widowControl/>
      <w:jc w:val="left"/>
    </w:pPr>
    <w:rPr>
      <w:rFonts w:ascii="宋体" w:hAnsi="宋体" w:eastAsia="宋体" w:cs="宋体"/>
      <w:kern w:val="0"/>
    </w:rPr>
  </w:style>
  <w:style w:type="paragraph" w:customStyle="1" w:styleId="153">
    <w:name w:val="hb2"/>
    <w:basedOn w:val="3"/>
    <w:link w:val="154"/>
    <w:qFormat/>
    <w:uiPriority w:val="0"/>
    <w:pPr>
      <w:widowControl/>
      <w:topLinePunct/>
      <w:adjustRightInd w:val="0"/>
      <w:spacing w:before="480" w:after="480" w:line="416" w:lineRule="atLeast"/>
      <w:jc w:val="left"/>
      <w:textAlignment w:val="baseline"/>
    </w:pPr>
    <w:rPr>
      <w:rFonts w:cs="Arial"/>
      <w:b/>
      <w:kern w:val="0"/>
      <w:szCs w:val="28"/>
    </w:rPr>
  </w:style>
  <w:style w:type="character" w:customStyle="1" w:styleId="154">
    <w:name w:val="hb2 Char"/>
    <w:link w:val="153"/>
    <w:qFormat/>
    <w:uiPriority w:val="0"/>
    <w:rPr>
      <w:rFonts w:ascii="Times New Roman" w:hAnsi="Times New Roman" w:eastAsia="宋体" w:cs="Arial"/>
      <w:b/>
      <w:bCs/>
      <w:sz w:val="28"/>
      <w:szCs w:val="28"/>
    </w:rPr>
  </w:style>
  <w:style w:type="paragraph" w:customStyle="1" w:styleId="155">
    <w:name w:val="CM3"/>
    <w:basedOn w:val="109"/>
    <w:next w:val="109"/>
    <w:autoRedefine/>
    <w:qFormat/>
    <w:uiPriority w:val="0"/>
    <w:pPr>
      <w:spacing w:after="163"/>
    </w:pPr>
    <w:rPr>
      <w:rFonts w:ascii="宋体" w:eastAsia="宋体" w:cs="宋体"/>
      <w:color w:val="auto"/>
    </w:rPr>
  </w:style>
  <w:style w:type="character" w:customStyle="1" w:styleId="156">
    <w:name w:val="Char Char2"/>
    <w:qFormat/>
    <w:uiPriority w:val="0"/>
    <w:rPr>
      <w:rFonts w:ascii="宋体" w:hAnsi="Courier New" w:eastAsia="宋体" w:cs="宋体"/>
      <w:b/>
      <w:bCs/>
      <w:kern w:val="2"/>
      <w:sz w:val="28"/>
      <w:szCs w:val="24"/>
      <w:lang w:val="en-US" w:eastAsia="zh-CN" w:bidi="ar-SA"/>
    </w:rPr>
  </w:style>
  <w:style w:type="paragraph" w:customStyle="1" w:styleId="157">
    <w:name w:val="p0"/>
    <w:basedOn w:val="1"/>
    <w:qFormat/>
    <w:uiPriority w:val="0"/>
    <w:pPr>
      <w:widowControl/>
      <w:spacing w:line="240" w:lineRule="auto"/>
      <w:ind w:firstLine="0" w:firstLineChars="0"/>
      <w:jc w:val="left"/>
    </w:pPr>
    <w:rPr>
      <w:rFonts w:ascii="宋体" w:hAnsi="宋体" w:eastAsia="宋体" w:cs="宋体"/>
      <w:kern w:val="0"/>
      <w:szCs w:val="20"/>
    </w:rPr>
  </w:style>
  <w:style w:type="character" w:customStyle="1" w:styleId="158">
    <w:name w:val="HBZW"/>
    <w:autoRedefine/>
    <w:qFormat/>
    <w:uiPriority w:val="0"/>
    <w:rPr>
      <w:rFonts w:ascii="宋体" w:hAnsi="宋体" w:eastAsia="宋体"/>
      <w:kern w:val="0"/>
      <w:sz w:val="24"/>
      <w:lang w:val="en-US" w:eastAsia="zh-CN" w:bidi="ar-SA"/>
    </w:rPr>
  </w:style>
  <w:style w:type="character" w:customStyle="1" w:styleId="159">
    <w:name w:val="正文文本 2 Char"/>
    <w:basedOn w:val="45"/>
    <w:link w:val="37"/>
    <w:autoRedefine/>
    <w:qFormat/>
    <w:uiPriority w:val="0"/>
    <w:rPr>
      <w:rFonts w:ascii="宋体" w:hAnsi="宋体" w:eastAsia="宋体" w:cs="宋体"/>
      <w:sz w:val="24"/>
      <w:szCs w:val="24"/>
    </w:rPr>
  </w:style>
  <w:style w:type="paragraph" w:customStyle="1" w:styleId="160">
    <w:name w:val="样式10"/>
    <w:basedOn w:val="22"/>
    <w:qFormat/>
    <w:uiPriority w:val="0"/>
    <w:pPr>
      <w:widowControl/>
      <w:spacing w:after="120" w:line="500" w:lineRule="exact"/>
      <w:ind w:firstLine="480" w:firstLineChars="200"/>
      <w:jc w:val="left"/>
    </w:pPr>
    <w:rPr>
      <w:rFonts w:hint="default" w:ascii="黑体" w:eastAsia="黑体" w:cs="Times New Roman"/>
      <w:b/>
      <w:bCs/>
      <w:kern w:val="0"/>
      <w:sz w:val="32"/>
      <w:szCs w:val="32"/>
    </w:rPr>
  </w:style>
  <w:style w:type="paragraph" w:customStyle="1" w:styleId="161">
    <w:name w:val="小4宋正文缩进"/>
    <w:basedOn w:val="1"/>
    <w:autoRedefine/>
    <w:qFormat/>
    <w:uiPriority w:val="0"/>
    <w:pPr>
      <w:widowControl/>
      <w:adjustRightInd w:val="0"/>
      <w:snapToGrid w:val="0"/>
      <w:ind w:firstLine="480"/>
      <w:jc w:val="center"/>
    </w:pPr>
    <w:rPr>
      <w:rFonts w:ascii="宋体" w:hAnsi="宋体" w:eastAsia="宋体" w:cs="宋体"/>
      <w:kern w:val="0"/>
      <w:szCs w:val="24"/>
    </w:rPr>
  </w:style>
  <w:style w:type="paragraph" w:customStyle="1" w:styleId="162">
    <w:name w:val="1"/>
    <w:basedOn w:val="1"/>
    <w:next w:val="16"/>
    <w:link w:val="163"/>
    <w:qFormat/>
    <w:uiPriority w:val="0"/>
    <w:pPr>
      <w:widowControl/>
      <w:spacing w:line="240" w:lineRule="auto"/>
      <w:ind w:firstLine="0" w:firstLineChars="0"/>
      <w:jc w:val="left"/>
    </w:pPr>
    <w:rPr>
      <w:rFonts w:ascii="宋体" w:hAnsi="宋体" w:eastAsia="宋体" w:cs="宋体"/>
      <w:kern w:val="0"/>
      <w:sz w:val="28"/>
      <w:szCs w:val="28"/>
    </w:rPr>
  </w:style>
  <w:style w:type="character" w:customStyle="1" w:styleId="163">
    <w:name w:val="1 Char"/>
    <w:link w:val="162"/>
    <w:qFormat/>
    <w:uiPriority w:val="0"/>
    <w:rPr>
      <w:rFonts w:ascii="宋体" w:hAnsi="宋体" w:eastAsia="宋体" w:cs="宋体"/>
      <w:sz w:val="28"/>
      <w:szCs w:val="28"/>
    </w:rPr>
  </w:style>
  <w:style w:type="character" w:customStyle="1" w:styleId="164">
    <w:name w:val="正文文本缩进 3 Char"/>
    <w:basedOn w:val="45"/>
    <w:link w:val="34"/>
    <w:qFormat/>
    <w:uiPriority w:val="0"/>
    <w:rPr>
      <w:rFonts w:ascii="宋体" w:hAnsi="宋体" w:eastAsia="宋体" w:cs="宋体"/>
      <w:sz w:val="16"/>
      <w:szCs w:val="16"/>
    </w:rPr>
  </w:style>
  <w:style w:type="character" w:customStyle="1" w:styleId="165">
    <w:name w:val="hb3 Char Char"/>
    <w:autoRedefine/>
    <w:qFormat/>
    <w:uiPriority w:val="0"/>
    <w:rPr>
      <w:rFonts w:ascii="宋体" w:hAnsi="宋体" w:eastAsia="宋体" w:cs="宋体"/>
      <w:b/>
      <w:bCs/>
      <w:sz w:val="32"/>
      <w:szCs w:val="32"/>
      <w:lang w:val="en-US" w:eastAsia="zh-CN"/>
    </w:rPr>
  </w:style>
  <w:style w:type="paragraph" w:customStyle="1" w:styleId="166">
    <w:name w:val="Char Char Char Char Char Char Char Char Char Char Char Char Char Char Char Char Char Char Char Char Char Char Char Char Char Char Char Char Char Char Char Char Char Char Char Char Char Char Char Char"/>
    <w:basedOn w:val="1"/>
    <w:qFormat/>
    <w:uiPriority w:val="0"/>
    <w:pPr>
      <w:widowControl/>
      <w:spacing w:line="240" w:lineRule="auto"/>
      <w:ind w:firstLine="0" w:firstLineChars="0"/>
      <w:jc w:val="left"/>
    </w:pPr>
    <w:rPr>
      <w:rFonts w:ascii="宋体" w:hAnsi="宋体" w:eastAsia="宋体" w:cs="宋体"/>
      <w:kern w:val="0"/>
      <w:szCs w:val="24"/>
    </w:rPr>
  </w:style>
  <w:style w:type="character" w:customStyle="1" w:styleId="167">
    <w:name w:val="注释标题 Char"/>
    <w:basedOn w:val="45"/>
    <w:link w:val="10"/>
    <w:autoRedefine/>
    <w:qFormat/>
    <w:uiPriority w:val="0"/>
    <w:rPr>
      <w:rFonts w:ascii="Arial Narrow" w:hAnsi="Arial Narrow" w:eastAsia="宋体" w:cs="宋体"/>
      <w:sz w:val="24"/>
    </w:rPr>
  </w:style>
  <w:style w:type="paragraph" w:customStyle="1" w:styleId="168">
    <w:name w:val="样式 报告书表格 + 五号"/>
    <w:basedOn w:val="113"/>
    <w:link w:val="169"/>
    <w:autoRedefine/>
    <w:qFormat/>
    <w:uiPriority w:val="0"/>
    <w:pPr>
      <w:tabs>
        <w:tab w:val="center" w:pos="4540"/>
        <w:tab w:val="right" w:pos="8505"/>
      </w:tabs>
      <w:snapToGrid w:val="0"/>
      <w:spacing w:line="240" w:lineRule="auto"/>
      <w:ind w:firstLine="0" w:firstLineChars="0"/>
      <w:jc w:val="both"/>
    </w:pPr>
    <w:rPr>
      <w:color w:val="auto"/>
      <w:kern w:val="2"/>
      <w:szCs w:val="21"/>
    </w:rPr>
  </w:style>
  <w:style w:type="character" w:customStyle="1" w:styleId="169">
    <w:name w:val="样式 报告书表格 + 五号 Char"/>
    <w:link w:val="168"/>
    <w:autoRedefine/>
    <w:qFormat/>
    <w:uiPriority w:val="0"/>
    <w:rPr>
      <w:rFonts w:ascii="宋体" w:hAnsi="宋体" w:eastAsia="宋体" w:cs="宋体"/>
      <w:kern w:val="2"/>
      <w:sz w:val="24"/>
      <w:szCs w:val="21"/>
    </w:rPr>
  </w:style>
  <w:style w:type="paragraph" w:customStyle="1" w:styleId="170">
    <w:name w:val="默认段落字体 Para Char Char Char Char Char Char Char Char Char Char"/>
    <w:basedOn w:val="28"/>
    <w:qFormat/>
    <w:uiPriority w:val="0"/>
    <w:pPr>
      <w:widowControl/>
      <w:tabs>
        <w:tab w:val="left" w:pos="360"/>
        <w:tab w:val="left" w:pos="900"/>
      </w:tabs>
      <w:spacing w:before="120" w:after="120" w:line="480" w:lineRule="atLeast"/>
      <w:ind w:left="542" w:leftChars="100" w:right="100" w:rightChars="100"/>
      <w:jc w:val="left"/>
    </w:pPr>
    <w:rPr>
      <w:rFonts w:ascii="宋体" w:hAnsi="宋体" w:eastAsia="黑体" w:cs="宋体"/>
      <w:b/>
      <w:bCs/>
      <w:snapToGrid w:val="0"/>
      <w:kern w:val="0"/>
      <w:sz w:val="24"/>
      <w:szCs w:val="24"/>
    </w:rPr>
  </w:style>
  <w:style w:type="paragraph" w:customStyle="1" w:styleId="171">
    <w:name w:val="Char1"/>
    <w:basedOn w:val="1"/>
    <w:autoRedefine/>
    <w:qFormat/>
    <w:uiPriority w:val="0"/>
    <w:pPr>
      <w:widowControl/>
      <w:snapToGrid w:val="0"/>
      <w:jc w:val="left"/>
    </w:pPr>
    <w:rPr>
      <w:rFonts w:ascii="宋体" w:hAnsi="宋体" w:cs="宋体"/>
      <w:kern w:val="0"/>
      <w:szCs w:val="24"/>
    </w:rPr>
  </w:style>
  <w:style w:type="character" w:customStyle="1" w:styleId="172">
    <w:name w:val="hb3 Char1"/>
    <w:autoRedefine/>
    <w:qFormat/>
    <w:uiPriority w:val="0"/>
    <w:rPr>
      <w:rFonts w:eastAsia="宋体" w:cs="宋体"/>
      <w:b/>
      <w:sz w:val="24"/>
      <w:szCs w:val="24"/>
      <w:lang w:val="en-US" w:eastAsia="zh-CN" w:bidi="ar-SA"/>
    </w:rPr>
  </w:style>
  <w:style w:type="paragraph" w:customStyle="1" w:styleId="173">
    <w:name w:val="_Style 12"/>
    <w:basedOn w:val="1"/>
    <w:qFormat/>
    <w:uiPriority w:val="0"/>
    <w:pPr>
      <w:widowControl/>
      <w:spacing w:line="240" w:lineRule="auto"/>
      <w:ind w:firstLine="0" w:firstLineChars="0"/>
      <w:jc w:val="left"/>
    </w:pPr>
    <w:rPr>
      <w:rFonts w:ascii="Calibri" w:hAnsi="Calibri" w:eastAsia="宋体" w:cs="宋体"/>
      <w:kern w:val="0"/>
      <w:szCs w:val="20"/>
    </w:rPr>
  </w:style>
  <w:style w:type="paragraph" w:customStyle="1" w:styleId="174">
    <w:name w:val="正文格式"/>
    <w:basedOn w:val="1"/>
    <w:link w:val="175"/>
    <w:autoRedefine/>
    <w:qFormat/>
    <w:uiPriority w:val="0"/>
    <w:pPr>
      <w:ind w:firstLine="482" w:firstLineChars="0"/>
    </w:pPr>
    <w:rPr>
      <w:rFonts w:ascii="宋体" w:hAnsi="宋体" w:eastAsia="宋体" w:cs="Times New Roman"/>
      <w:szCs w:val="24"/>
    </w:rPr>
  </w:style>
  <w:style w:type="character" w:customStyle="1" w:styleId="175">
    <w:name w:val="正文格式 Char"/>
    <w:link w:val="174"/>
    <w:autoRedefine/>
    <w:qFormat/>
    <w:uiPriority w:val="0"/>
    <w:rPr>
      <w:rFonts w:ascii="宋体" w:hAnsi="宋体" w:eastAsia="宋体" w:cs="Times New Roman"/>
      <w:kern w:val="2"/>
      <w:sz w:val="24"/>
      <w:szCs w:val="24"/>
    </w:rPr>
  </w:style>
  <w:style w:type="paragraph" w:customStyle="1" w:styleId="176">
    <w:name w:val="4 Char"/>
    <w:basedOn w:val="1"/>
    <w:autoRedefine/>
    <w:qFormat/>
    <w:uiPriority w:val="0"/>
    <w:pPr>
      <w:spacing w:line="240" w:lineRule="auto"/>
      <w:ind w:firstLine="0" w:firstLineChars="0"/>
    </w:pPr>
    <w:rPr>
      <w:rFonts w:eastAsia="宋体" w:cs="Times New Roman"/>
      <w:sz w:val="21"/>
      <w:szCs w:val="24"/>
    </w:rPr>
  </w:style>
  <w:style w:type="paragraph" w:customStyle="1" w:styleId="177">
    <w:name w:val="四级标题1.1.1.1"/>
    <w:basedOn w:val="1"/>
    <w:next w:val="1"/>
    <w:autoRedefine/>
    <w:qFormat/>
    <w:uiPriority w:val="0"/>
    <w:pPr>
      <w:keepNext/>
      <w:keepLines/>
      <w:widowControl/>
      <w:adjustRightInd w:val="0"/>
      <w:spacing w:before="40" w:after="40"/>
      <w:outlineLvl w:val="3"/>
    </w:pPr>
    <w:rPr>
      <w:rFonts w:cs="宋体"/>
      <w:b/>
      <w:kern w:val="0"/>
      <w:szCs w:val="28"/>
    </w:rPr>
  </w:style>
  <w:style w:type="paragraph" w:customStyle="1" w:styleId="178">
    <w:name w:val="Char1 Char Char Char Char Char Char Char Char Char Char Char Char Char Char Char"/>
    <w:basedOn w:val="1"/>
    <w:qFormat/>
    <w:uiPriority w:val="0"/>
    <w:pPr>
      <w:spacing w:line="240" w:lineRule="auto"/>
      <w:ind w:firstLine="0" w:firstLineChars="0"/>
    </w:pPr>
    <w:rPr>
      <w:rFonts w:eastAsia="宋体" w:cs="Times New Roman"/>
      <w:sz w:val="21"/>
      <w:szCs w:val="20"/>
    </w:rPr>
  </w:style>
  <w:style w:type="paragraph" w:customStyle="1" w:styleId="179">
    <w:name w:val="Char Char Char Char Char Char Char Char"/>
    <w:basedOn w:val="1"/>
    <w:qFormat/>
    <w:uiPriority w:val="0"/>
    <w:pPr>
      <w:spacing w:line="240" w:lineRule="exact"/>
    </w:pPr>
    <w:rPr>
      <w:rFonts w:eastAsia="宋体" w:cs="Times New Roman"/>
      <w:sz w:val="28"/>
      <w:szCs w:val="28"/>
    </w:rPr>
  </w:style>
  <w:style w:type="character" w:customStyle="1" w:styleId="180">
    <w:name w:val="question-title2"/>
    <w:autoRedefine/>
    <w:qFormat/>
    <w:uiPriority w:val="0"/>
  </w:style>
  <w:style w:type="character" w:customStyle="1" w:styleId="181">
    <w:name w:val="无页眉 Char1"/>
    <w:semiHidden/>
    <w:qFormat/>
    <w:uiPriority w:val="99"/>
    <w:rPr>
      <w:sz w:val="18"/>
      <w:szCs w:val="18"/>
    </w:rPr>
  </w:style>
  <w:style w:type="paragraph" w:customStyle="1" w:styleId="182">
    <w:name w:val="列出段落2"/>
    <w:basedOn w:val="1"/>
    <w:qFormat/>
    <w:uiPriority w:val="34"/>
    <w:pPr>
      <w:spacing w:line="240" w:lineRule="auto"/>
      <w:ind w:firstLine="420"/>
    </w:pPr>
    <w:rPr>
      <w:rFonts w:ascii="Calibri" w:hAnsi="Calibri" w:eastAsia="宋体" w:cs="Times New Roman"/>
      <w:sz w:val="21"/>
    </w:rPr>
  </w:style>
  <w:style w:type="paragraph" w:customStyle="1" w:styleId="183">
    <w:name w:val="样式5"/>
    <w:basedOn w:val="1"/>
    <w:qFormat/>
    <w:uiPriority w:val="0"/>
    <w:pPr>
      <w:spacing w:line="480" w:lineRule="exact"/>
      <w:ind w:firstLine="560"/>
    </w:pPr>
    <w:rPr>
      <w:rFonts w:cs="Times New Roman"/>
      <w:sz w:val="28"/>
      <w:szCs w:val="24"/>
    </w:rPr>
  </w:style>
  <w:style w:type="paragraph" w:customStyle="1" w:styleId="184">
    <w:name w:val="简单回函地址"/>
    <w:basedOn w:val="1"/>
    <w:autoRedefine/>
    <w:qFormat/>
    <w:uiPriority w:val="0"/>
    <w:pPr>
      <w:spacing w:line="240" w:lineRule="auto"/>
      <w:ind w:firstLine="0" w:firstLineChars="0"/>
    </w:pPr>
    <w:rPr>
      <w:rFonts w:eastAsia="宋体" w:cs="Times New Roman"/>
      <w:sz w:val="21"/>
      <w:szCs w:val="24"/>
    </w:rPr>
  </w:style>
  <w:style w:type="paragraph" w:customStyle="1" w:styleId="185">
    <w:name w:val="ENFI正文"/>
    <w:basedOn w:val="1"/>
    <w:link w:val="186"/>
    <w:qFormat/>
    <w:uiPriority w:val="0"/>
    <w:pPr>
      <w:adjustRightInd w:val="0"/>
      <w:snapToGrid w:val="0"/>
      <w:spacing w:line="500" w:lineRule="exact"/>
      <w:ind w:firstLine="567" w:firstLineChars="0"/>
    </w:pPr>
    <w:rPr>
      <w:rFonts w:cs="Times New Roman"/>
      <w:snapToGrid w:val="0"/>
      <w:color w:val="000000"/>
      <w:kern w:val="0"/>
      <w:sz w:val="28"/>
      <w:szCs w:val="20"/>
    </w:rPr>
  </w:style>
  <w:style w:type="character" w:customStyle="1" w:styleId="186">
    <w:name w:val="ENFI正文 Char Char"/>
    <w:link w:val="185"/>
    <w:autoRedefine/>
    <w:qFormat/>
    <w:uiPriority w:val="0"/>
    <w:rPr>
      <w:rFonts w:ascii="Times New Roman" w:hAnsi="Times New Roman" w:eastAsia="仿宋_GB2312" w:cs="Times New Roman"/>
      <w:snapToGrid w:val="0"/>
      <w:color w:val="000000"/>
      <w:sz w:val="28"/>
    </w:rPr>
  </w:style>
  <w:style w:type="paragraph" w:customStyle="1" w:styleId="187">
    <w:name w:val="ENFI表体"/>
    <w:basedOn w:val="1"/>
    <w:link w:val="188"/>
    <w:qFormat/>
    <w:uiPriority w:val="0"/>
    <w:pPr>
      <w:widowControl/>
      <w:adjustRightInd w:val="0"/>
      <w:snapToGrid w:val="0"/>
      <w:spacing w:line="240" w:lineRule="atLeast"/>
      <w:ind w:firstLine="0" w:firstLineChars="0"/>
      <w:jc w:val="center"/>
    </w:pPr>
    <w:rPr>
      <w:rFonts w:cs="Times New Roman"/>
      <w:kern w:val="0"/>
      <w:szCs w:val="20"/>
    </w:rPr>
  </w:style>
  <w:style w:type="character" w:customStyle="1" w:styleId="188">
    <w:name w:val="ENFI表体 Char Char"/>
    <w:link w:val="187"/>
    <w:qFormat/>
    <w:uiPriority w:val="0"/>
    <w:rPr>
      <w:rFonts w:ascii="Times New Roman" w:hAnsi="Times New Roman" w:eastAsia="仿宋_GB2312" w:cs="Times New Roman"/>
      <w:sz w:val="24"/>
    </w:rPr>
  </w:style>
  <w:style w:type="character" w:customStyle="1" w:styleId="189">
    <w:name w:val="题注 Char"/>
    <w:link w:val="12"/>
    <w:qFormat/>
    <w:uiPriority w:val="0"/>
    <w:rPr>
      <w:rFonts w:ascii="Times New Roman" w:hAnsi="Times New Roman" w:eastAsia="宋体" w:cs="Times New Roman (标题 CS)"/>
      <w:b/>
      <w:kern w:val="2"/>
      <w:sz w:val="24"/>
    </w:rPr>
  </w:style>
  <w:style w:type="character" w:customStyle="1" w:styleId="190">
    <w:name w:val="Unresolved Mention"/>
    <w:semiHidden/>
    <w:unhideWhenUsed/>
    <w:qFormat/>
    <w:uiPriority w:val="99"/>
    <w:rPr>
      <w:color w:val="605E5C"/>
      <w:shd w:val="clear" w:color="auto" w:fill="E1DFDD"/>
    </w:rPr>
  </w:style>
  <w:style w:type="paragraph" w:customStyle="1" w:styleId="191">
    <w:name w:val="正文段落S"/>
    <w:basedOn w:val="1"/>
    <w:autoRedefine/>
    <w:qFormat/>
    <w:uiPriority w:val="0"/>
    <w:pPr>
      <w:ind w:firstLine="420"/>
    </w:pPr>
    <w:rPr>
      <w:rFonts w:cs="Times New Roman"/>
      <w:snapToGrid w:val="0"/>
      <w:kern w:val="0"/>
      <w:szCs w:val="20"/>
    </w:rPr>
  </w:style>
  <w:style w:type="paragraph" w:customStyle="1" w:styleId="192">
    <w:name w:val="我的表格"/>
    <w:basedOn w:val="1"/>
    <w:link w:val="193"/>
    <w:autoRedefine/>
    <w:qFormat/>
    <w:uiPriority w:val="0"/>
    <w:pPr>
      <w:autoSpaceDE w:val="0"/>
      <w:autoSpaceDN w:val="0"/>
      <w:ind w:firstLine="0" w:firstLineChars="0"/>
      <w:jc w:val="center"/>
    </w:pPr>
    <w:rPr>
      <w:rFonts w:eastAsia="宋体" w:cs="Times New Roman"/>
      <w:b/>
      <w:kern w:val="0"/>
      <w:szCs w:val="21"/>
      <w:lang w:val="zh-CN"/>
    </w:rPr>
  </w:style>
  <w:style w:type="character" w:customStyle="1" w:styleId="193">
    <w:name w:val="我的表格 Char"/>
    <w:link w:val="192"/>
    <w:autoRedefine/>
    <w:qFormat/>
    <w:uiPriority w:val="0"/>
    <w:rPr>
      <w:rFonts w:ascii="Times New Roman" w:hAnsi="Times New Roman" w:eastAsia="宋体" w:cs="Times New Roman"/>
      <w:b/>
      <w:sz w:val="24"/>
      <w:szCs w:val="21"/>
      <w:lang w:val="zh-CN"/>
    </w:rPr>
  </w:style>
  <w:style w:type="character" w:customStyle="1" w:styleId="194">
    <w:name w:val="text-tag"/>
    <w:basedOn w:val="45"/>
    <w:autoRedefine/>
    <w:qFormat/>
    <w:uiPriority w:val="0"/>
  </w:style>
  <w:style w:type="character" w:customStyle="1" w:styleId="195">
    <w:name w:val="1正文 Char"/>
    <w:link w:val="196"/>
    <w:qFormat/>
    <w:uiPriority w:val="0"/>
    <w:rPr>
      <w:kern w:val="2"/>
      <w:sz w:val="24"/>
      <w:szCs w:val="24"/>
    </w:rPr>
  </w:style>
  <w:style w:type="paragraph" w:customStyle="1" w:styleId="196">
    <w:name w:val="1正文"/>
    <w:basedOn w:val="1"/>
    <w:link w:val="195"/>
    <w:autoRedefine/>
    <w:qFormat/>
    <w:uiPriority w:val="0"/>
    <w:rPr>
      <w:rFonts w:asciiTheme="minorHAnsi" w:hAnsiTheme="minorHAnsi" w:eastAsiaTheme="minorEastAsia"/>
      <w:szCs w:val="24"/>
    </w:rPr>
  </w:style>
  <w:style w:type="character" w:customStyle="1" w:styleId="197">
    <w:name w:val="fontstyle01"/>
    <w:qFormat/>
    <w:uiPriority w:val="0"/>
    <w:rPr>
      <w:rFonts w:hint="eastAsia" w:ascii="宋体" w:hAnsi="宋体" w:eastAsia="宋体" w:cs="..ì."/>
      <w:color w:val="000000"/>
      <w:sz w:val="24"/>
      <w:szCs w:val="24"/>
    </w:rPr>
  </w:style>
  <w:style w:type="paragraph" w:customStyle="1" w:styleId="198">
    <w:name w:val="Body Text First Indent 21"/>
    <w:basedOn w:val="1"/>
    <w:autoRedefine/>
    <w:qFormat/>
    <w:uiPriority w:val="0"/>
    <w:pPr>
      <w:spacing w:line="240" w:lineRule="auto"/>
      <w:ind w:left="200" w:leftChars="200" w:firstLine="420" w:firstLineChars="0"/>
    </w:pPr>
    <w:rPr>
      <w:rFonts w:ascii="仿宋_GB2312" w:cs="仿宋_GB2312"/>
      <w:sz w:val="32"/>
      <w:szCs w:val="32"/>
    </w:rPr>
  </w:style>
  <w:style w:type="character" w:customStyle="1" w:styleId="199">
    <w:name w:val="表格样式 Char"/>
    <w:link w:val="200"/>
    <w:autoRedefine/>
    <w:qFormat/>
    <w:uiPriority w:val="0"/>
    <w:rPr>
      <w:kern w:val="2"/>
      <w:sz w:val="21"/>
      <w:szCs w:val="21"/>
    </w:rPr>
  </w:style>
  <w:style w:type="paragraph" w:customStyle="1" w:styleId="200">
    <w:name w:val="表格样式"/>
    <w:basedOn w:val="69"/>
    <w:link w:val="199"/>
    <w:autoRedefine/>
    <w:qFormat/>
    <w:uiPriority w:val="0"/>
    <w:pPr>
      <w:adjustRightInd w:val="0"/>
      <w:snapToGrid w:val="0"/>
      <w:spacing w:line="240" w:lineRule="auto"/>
    </w:pPr>
    <w:rPr>
      <w:rFonts w:asciiTheme="minorHAnsi" w:hAnsiTheme="minorHAnsi" w:eastAsiaTheme="minorEastAsia" w:cstheme="minorBidi"/>
      <w:sz w:val="21"/>
      <w:szCs w:val="21"/>
    </w:rPr>
  </w:style>
  <w:style w:type="character" w:customStyle="1" w:styleId="201">
    <w:name w:val="标题 8 Char"/>
    <w:basedOn w:val="45"/>
    <w:link w:val="8"/>
    <w:semiHidden/>
    <w:qFormat/>
    <w:uiPriority w:val="9"/>
    <w:rPr>
      <w:rFonts w:asciiTheme="majorHAnsi" w:hAnsiTheme="majorHAnsi" w:eastAsiaTheme="majorEastAsia" w:cstheme="majorBidi"/>
      <w:kern w:val="2"/>
      <w:sz w:val="24"/>
      <w:szCs w:val="24"/>
    </w:rPr>
  </w:style>
  <w:style w:type="character" w:customStyle="1" w:styleId="202">
    <w:name w:val="段 Char Char"/>
    <w:link w:val="203"/>
    <w:qFormat/>
    <w:uiPriority w:val="0"/>
    <w:rPr>
      <w:rFonts w:ascii="宋体" w:hAnsi="Calibri"/>
    </w:rPr>
  </w:style>
  <w:style w:type="paragraph" w:customStyle="1" w:styleId="203">
    <w:name w:val="段"/>
    <w:link w:val="202"/>
    <w:qFormat/>
    <w:uiPriority w:val="0"/>
    <w:pPr>
      <w:tabs>
        <w:tab w:val="center" w:pos="4201"/>
        <w:tab w:val="right" w:leader="dot" w:pos="9298"/>
      </w:tabs>
      <w:autoSpaceDE w:val="0"/>
      <w:autoSpaceDN w:val="0"/>
      <w:ind w:firstLine="420" w:firstLineChars="200"/>
      <w:jc w:val="both"/>
    </w:pPr>
    <w:rPr>
      <w:rFonts w:ascii="宋体" w:hAnsi="Calibri" w:eastAsiaTheme="minorEastAsia" w:cstheme="minorBidi"/>
      <w:lang w:val="en-US" w:eastAsia="zh-CN" w:bidi="ar-SA"/>
    </w:rPr>
  </w:style>
  <w:style w:type="character" w:customStyle="1" w:styleId="204">
    <w:name w:val="font21"/>
    <w:basedOn w:val="45"/>
    <w:autoRedefine/>
    <w:qFormat/>
    <w:uiPriority w:val="0"/>
    <w:rPr>
      <w:rFonts w:hint="eastAsia" w:ascii="宋体" w:hAnsi="宋体" w:eastAsia="宋体" w:cs="宋体"/>
      <w:color w:val="000000"/>
      <w:sz w:val="20"/>
      <w:szCs w:val="20"/>
      <w:u w:val="none"/>
    </w:rPr>
  </w:style>
  <w:style w:type="paragraph" w:customStyle="1" w:styleId="205">
    <w:name w:val="正文_21"/>
    <w:qFormat/>
    <w:uiPriority w:val="0"/>
    <w:pPr>
      <w:widowControl w:val="0"/>
      <w:jc w:val="both"/>
    </w:pPr>
    <w:rPr>
      <w:rFonts w:ascii="Calibri" w:hAnsi="Calibri" w:eastAsia="宋体" w:cs="Times New Roman"/>
      <w:kern w:val="2"/>
      <w:sz w:val="21"/>
      <w:lang w:val="en-US" w:eastAsia="zh-CN" w:bidi="ar-SA"/>
    </w:rPr>
  </w:style>
  <w:style w:type="paragraph" w:customStyle="1" w:styleId="206">
    <w:name w:val="正文_38"/>
    <w:qFormat/>
    <w:uiPriority w:val="0"/>
    <w:pPr>
      <w:widowControl w:val="0"/>
      <w:jc w:val="both"/>
    </w:pPr>
    <w:rPr>
      <w:rFonts w:ascii="Calibri" w:hAnsi="Calibri" w:eastAsia="宋体" w:cs="Times New Roman"/>
      <w:kern w:val="2"/>
      <w:sz w:val="21"/>
      <w:lang w:val="en-US" w:eastAsia="zh-CN" w:bidi="ar-SA"/>
    </w:rPr>
  </w:style>
  <w:style w:type="paragraph" w:customStyle="1" w:styleId="207">
    <w:name w:val="正文_40"/>
    <w:qFormat/>
    <w:uiPriority w:val="0"/>
    <w:pPr>
      <w:widowControl w:val="0"/>
      <w:jc w:val="both"/>
    </w:pPr>
    <w:rPr>
      <w:rFonts w:ascii="Calibri" w:hAnsi="Calibri" w:eastAsia="宋体" w:cs="Times New Roman"/>
      <w:kern w:val="2"/>
      <w:sz w:val="21"/>
      <w:lang w:val="en-US" w:eastAsia="zh-CN" w:bidi="ar-SA"/>
    </w:rPr>
  </w:style>
  <w:style w:type="character" w:customStyle="1" w:styleId="208">
    <w:name w:val="表格样式1 Char"/>
    <w:link w:val="209"/>
    <w:qFormat/>
    <w:uiPriority w:val="0"/>
    <w:rPr>
      <w:rFonts w:ascii="黑体" w:hAnsi="宋体" w:eastAsia="黑体" w:cs="Times New Roman"/>
      <w:szCs w:val="21"/>
    </w:rPr>
  </w:style>
  <w:style w:type="paragraph" w:customStyle="1" w:styleId="209">
    <w:name w:val="表格样式1"/>
    <w:basedOn w:val="69"/>
    <w:link w:val="208"/>
    <w:autoRedefine/>
    <w:qFormat/>
    <w:uiPriority w:val="0"/>
    <w:pPr>
      <w:adjustRightInd w:val="0"/>
      <w:snapToGrid w:val="0"/>
      <w:spacing w:beforeLines="40" w:afterLines="40" w:line="240" w:lineRule="auto"/>
    </w:pPr>
    <w:rPr>
      <w:rFonts w:ascii="黑体" w:eastAsia="黑体"/>
      <w:kern w:val="0"/>
      <w:sz w:val="2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38.jpeg"/><Relationship Id="rId51" Type="http://schemas.openxmlformats.org/officeDocument/2006/relationships/image" Target="media/image37.jpeg"/><Relationship Id="rId50" Type="http://schemas.openxmlformats.org/officeDocument/2006/relationships/image" Target="media/image36.jpeg"/><Relationship Id="rId5" Type="http://schemas.openxmlformats.org/officeDocument/2006/relationships/header" Target="header1.xml"/><Relationship Id="rId49" Type="http://schemas.openxmlformats.org/officeDocument/2006/relationships/image" Target="media/image35.jpeg"/><Relationship Id="rId48" Type="http://schemas.openxmlformats.org/officeDocument/2006/relationships/image" Target="media/image34.jpeg"/><Relationship Id="rId47" Type="http://schemas.openxmlformats.org/officeDocument/2006/relationships/image" Target="media/image33.jpeg"/><Relationship Id="rId46" Type="http://schemas.openxmlformats.org/officeDocument/2006/relationships/image" Target="media/image32.jpeg"/><Relationship Id="rId45" Type="http://schemas.openxmlformats.org/officeDocument/2006/relationships/image" Target="media/image31.jpeg"/><Relationship Id="rId44" Type="http://schemas.openxmlformats.org/officeDocument/2006/relationships/image" Target="media/image30.jpeg"/><Relationship Id="rId43" Type="http://schemas.openxmlformats.org/officeDocument/2006/relationships/image" Target="media/image29.jpeg"/><Relationship Id="rId42" Type="http://schemas.openxmlformats.org/officeDocument/2006/relationships/image" Target="media/image28.jpeg"/><Relationship Id="rId41" Type="http://schemas.openxmlformats.org/officeDocument/2006/relationships/image" Target="media/image27.jpeg"/><Relationship Id="rId40" Type="http://schemas.openxmlformats.org/officeDocument/2006/relationships/image" Target="media/image26.jpeg"/><Relationship Id="rId4" Type="http://schemas.openxmlformats.org/officeDocument/2006/relationships/endnotes" Target="endnotes.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footnotes" Target="footnotes.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00F262-C5A8-484D-AF01-ADC896819966}">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68</Pages>
  <Words>3564</Words>
  <Characters>20317</Characters>
  <Lines>169</Lines>
  <Paragraphs>47</Paragraphs>
  <TotalTime>0</TotalTime>
  <ScaleCrop>false</ScaleCrop>
  <LinksUpToDate>false</LinksUpToDate>
  <CharactersWithSpaces>23834</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2024-05-15T01:17:00Z</dcterms:created>
  <dc:creator>贾利</dc:creator>
  <cp:lastModifiedBy>石头</cp:lastModifiedBy>
  <dcterms:modified xsi:type="dcterms:W3CDTF">2024-05-15T01:32:54Z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BAE86A6F9AE446CC823D5D7CF386E59A</vt:lpwstr>
  </property>
</Properties>
</file>